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070E9">
      <w:pPr>
        <w:widowControl/>
        <w:spacing w:line="240" w:lineRule="auto"/>
        <w:ind w:firstLine="0" w:firstLineChars="0"/>
        <w:jc w:val="center"/>
        <w:rPr>
          <w:rFonts w:ascii="微软雅黑" w:hAnsi="微软雅黑" w:eastAsia="微软雅黑" w:cs="微软雅黑"/>
          <w:color w:val="000000"/>
          <w:kern w:val="0"/>
          <w:sz w:val="43"/>
          <w:szCs w:val="43"/>
          <w:lang w:bidi="ar"/>
        </w:rPr>
      </w:pPr>
    </w:p>
    <w:p w14:paraId="715A8013">
      <w:pPr>
        <w:ind w:firstLine="1440"/>
      </w:pPr>
    </w:p>
    <w:p w14:paraId="3847B724">
      <w:pPr>
        <w:ind w:left="0" w:leftChars="0" w:firstLine="0" w:firstLineChars="0"/>
      </w:pPr>
    </w:p>
    <w:p w14:paraId="51A4BA6C">
      <w:pPr>
        <w:ind w:firstLine="1440"/>
      </w:pPr>
    </w:p>
    <w:p w14:paraId="7285CB6E">
      <w:pPr>
        <w:widowControl/>
        <w:spacing w:line="240" w:lineRule="auto"/>
        <w:ind w:left="0" w:leftChars="0" w:right="0" w:rightChars="0" w:firstLine="0" w:firstLineChars="0"/>
        <w:jc w:val="center"/>
        <w:rPr>
          <w:rFonts w:hint="eastAsia" w:ascii="方正小标宋_GBK" w:hAnsi="方正小标宋_GBK" w:eastAsia="方正小标宋_GBK" w:cs="方正小标宋_GBK"/>
          <w:color w:val="000000"/>
          <w:kern w:val="0"/>
          <w:sz w:val="56"/>
          <w:szCs w:val="56"/>
          <w:lang w:bidi="ar"/>
        </w:rPr>
      </w:pPr>
      <w:r>
        <w:rPr>
          <w:rFonts w:hint="eastAsia" w:ascii="方正小标宋_GBK" w:hAnsi="方正小标宋_GBK" w:eastAsia="方正小标宋_GBK" w:cs="方正小标宋_GBK"/>
          <w:color w:val="000000"/>
          <w:kern w:val="0"/>
          <w:sz w:val="56"/>
          <w:szCs w:val="56"/>
          <w:lang w:bidi="ar"/>
        </w:rPr>
        <w:t>流动科技馆科普教育服务规范</w:t>
      </w:r>
    </w:p>
    <w:p w14:paraId="4BC026A1">
      <w:pPr>
        <w:widowControl/>
        <w:spacing w:line="240" w:lineRule="auto"/>
        <w:ind w:left="0" w:leftChars="0" w:right="0" w:rightChars="0" w:firstLine="0" w:firstLineChars="0"/>
        <w:jc w:val="center"/>
        <w:rPr>
          <w:rFonts w:hint="eastAsia" w:ascii="方正小标宋_GBK" w:hAnsi="方正小标宋_GBK" w:eastAsia="方正小标宋_GBK" w:cs="方正小标宋_GBK"/>
          <w:color w:val="000000"/>
          <w:kern w:val="0"/>
          <w:sz w:val="56"/>
          <w:szCs w:val="56"/>
          <w:lang w:bidi="ar"/>
        </w:rPr>
      </w:pPr>
    </w:p>
    <w:p w14:paraId="29B5174F">
      <w:pPr>
        <w:widowControl/>
        <w:spacing w:line="240" w:lineRule="auto"/>
        <w:ind w:left="0" w:leftChars="0" w:right="0" w:rightChars="0" w:firstLine="0" w:firstLineChars="0"/>
        <w:jc w:val="center"/>
        <w:rPr>
          <w:rFonts w:hint="eastAsia" w:ascii="方正小标宋_GBK" w:hAnsi="方正小标宋_GBK" w:eastAsia="方正小标宋_GBK" w:cs="方正小标宋_GBK"/>
          <w:color w:val="000000"/>
          <w:kern w:val="0"/>
          <w:sz w:val="56"/>
          <w:szCs w:val="56"/>
          <w:lang w:bidi="ar"/>
        </w:rPr>
      </w:pPr>
      <w:r>
        <w:rPr>
          <w:rFonts w:hint="eastAsia" w:ascii="方正小标宋_GBK" w:hAnsi="方正小标宋_GBK" w:eastAsia="方正小标宋_GBK" w:cs="方正小标宋_GBK"/>
          <w:color w:val="000000"/>
          <w:kern w:val="0"/>
          <w:sz w:val="56"/>
          <w:szCs w:val="56"/>
          <w:lang w:bidi="ar"/>
        </w:rPr>
        <w:t>编制说明</w:t>
      </w:r>
    </w:p>
    <w:p w14:paraId="6127148D">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06C4D307">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003AD3EB">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61DECDA2">
      <w:pPr>
        <w:widowControl/>
        <w:spacing w:line="240" w:lineRule="auto"/>
        <w:ind w:firstLine="0" w:firstLineChars="0"/>
        <w:jc w:val="both"/>
        <w:rPr>
          <w:rFonts w:hint="eastAsia" w:ascii="方正小标宋_GBK" w:hAnsi="方正小标宋_GBK" w:eastAsia="方正小标宋_GBK" w:cs="方正小标宋_GBK"/>
          <w:color w:val="000000"/>
          <w:kern w:val="0"/>
          <w:sz w:val="43"/>
          <w:szCs w:val="43"/>
          <w:lang w:bidi="ar"/>
        </w:rPr>
      </w:pPr>
    </w:p>
    <w:p w14:paraId="1128C163">
      <w:pPr>
        <w:widowControl/>
        <w:spacing w:line="240" w:lineRule="auto"/>
        <w:ind w:firstLine="0" w:firstLineChars="0"/>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202</w:t>
      </w:r>
      <w:r>
        <w:rPr>
          <w:rFonts w:hint="eastAsia" w:ascii="方正小标宋_GBK" w:hAnsi="方正小标宋_GBK" w:eastAsia="方正小标宋_GBK" w:cs="方正小标宋_GBK"/>
          <w:color w:val="000000"/>
          <w:kern w:val="0"/>
          <w:sz w:val="44"/>
          <w:szCs w:val="44"/>
          <w:lang w:val="en-US" w:eastAsia="zh-CN" w:bidi="ar"/>
        </w:rPr>
        <w:t>5</w:t>
      </w:r>
      <w:r>
        <w:rPr>
          <w:rFonts w:hint="eastAsia" w:ascii="方正小标宋_GBK" w:hAnsi="方正小标宋_GBK" w:eastAsia="方正小标宋_GBK" w:cs="方正小标宋_GBK"/>
          <w:color w:val="000000"/>
          <w:kern w:val="0"/>
          <w:sz w:val="44"/>
          <w:szCs w:val="44"/>
          <w:lang w:bidi="ar"/>
        </w:rPr>
        <w:t>年</w:t>
      </w:r>
      <w:r>
        <w:rPr>
          <w:rFonts w:hint="eastAsia" w:ascii="方正小标宋_GBK" w:hAnsi="方正小标宋_GBK" w:eastAsia="方正小标宋_GBK" w:cs="方正小标宋_GBK"/>
          <w:color w:val="000000"/>
          <w:kern w:val="0"/>
          <w:sz w:val="44"/>
          <w:szCs w:val="44"/>
          <w:lang w:val="en-US" w:eastAsia="zh-CN" w:bidi="ar"/>
        </w:rPr>
        <w:t>02</w:t>
      </w:r>
      <w:r>
        <w:rPr>
          <w:rFonts w:hint="eastAsia" w:ascii="方正小标宋_GBK" w:hAnsi="方正小标宋_GBK" w:eastAsia="方正小标宋_GBK" w:cs="方正小标宋_GBK"/>
          <w:color w:val="000000"/>
          <w:kern w:val="0"/>
          <w:sz w:val="44"/>
          <w:szCs w:val="44"/>
          <w:lang w:bidi="ar"/>
        </w:rPr>
        <w:t>月</w:t>
      </w:r>
    </w:p>
    <w:p w14:paraId="57C361B0">
      <w:pPr>
        <w:rPr>
          <w:rFonts w:hint="eastAsia" w:ascii="方正小标宋_GBK" w:hAnsi="方正小标宋_GBK" w:eastAsia="方正小标宋_GBK" w:cs="方正小标宋_GBK"/>
          <w:b/>
          <w:kern w:val="0"/>
          <w:sz w:val="36"/>
          <w:szCs w:val="36"/>
          <w:lang w:val="en-US" w:eastAsia="zh-CN" w:bidi="ar-SA"/>
        </w:rPr>
      </w:pPr>
      <w:r>
        <w:rPr>
          <w:rFonts w:hint="eastAsia" w:ascii="方正小标宋_GBK" w:hAnsi="方正小标宋_GBK" w:eastAsia="方正小标宋_GBK" w:cs="方正小标宋_GBK"/>
          <w:b/>
          <w:kern w:val="0"/>
          <w:sz w:val="36"/>
          <w:szCs w:val="36"/>
          <w:lang w:val="en-US" w:eastAsia="zh-CN" w:bidi="ar-SA"/>
        </w:rPr>
        <w:br w:type="page"/>
      </w:r>
    </w:p>
    <w:sdt>
      <w:sdtPr>
        <w:rPr>
          <w:rFonts w:hint="eastAsia" w:ascii="黑体" w:hAnsi="黑体" w:eastAsia="黑体" w:cs="黑体"/>
          <w:kern w:val="2"/>
          <w:sz w:val="32"/>
          <w:szCs w:val="32"/>
          <w:lang w:val="en-US" w:eastAsia="zh-CN" w:bidi="ar-SA"/>
        </w:rPr>
        <w:id w:val="147460984"/>
        <w15:color w:val="DBDBDB"/>
        <w:docPartObj>
          <w:docPartGallery w:val="Table of Contents"/>
          <w:docPartUnique/>
        </w:docPartObj>
      </w:sdtPr>
      <w:sdtEndPr>
        <w:rPr>
          <w:rFonts w:hint="eastAsia" w:ascii="方正小标宋简体" w:hAnsi="方正小标宋简体" w:eastAsia="方正小标宋简体" w:cs="方正小标宋简体"/>
          <w:kern w:val="44"/>
          <w:sz w:val="32"/>
          <w:szCs w:val="44"/>
          <w:lang w:val="en-US" w:eastAsia="zh-CN" w:bidi="ar-SA"/>
        </w:rPr>
      </w:sdtEndPr>
      <w:sdtContent>
        <w:p w14:paraId="4D53787F">
          <w:pPr>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32"/>
              <w:szCs w:val="32"/>
            </w:rPr>
          </w:pPr>
          <w:bookmarkStart w:id="0" w:name="_Toc25285"/>
          <w:bookmarkStart w:id="1" w:name="_Toc31196"/>
          <w:bookmarkStart w:id="2" w:name="_Toc1663"/>
          <w:bookmarkStart w:id="3" w:name="_Toc29424"/>
          <w:bookmarkStart w:id="4" w:name="_Toc23751"/>
          <w:r>
            <w:rPr>
              <w:rFonts w:hint="eastAsia" w:ascii="黑体" w:hAnsi="黑体" w:eastAsia="黑体" w:cs="黑体"/>
              <w:sz w:val="32"/>
              <w:szCs w:val="32"/>
            </w:rPr>
            <w:t>目录</w:t>
          </w:r>
        </w:p>
        <w:p w14:paraId="4400A6DB">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TOC \o "1-1" \h \u </w:instrText>
          </w:r>
          <w:r>
            <w:rPr>
              <w:rFonts w:hint="eastAsia" w:ascii="仿宋_GB2312" w:hAnsi="仿宋_GB2312" w:eastAsia="仿宋_GB2312" w:cs="仿宋_GB2312"/>
              <w:kern w:val="44"/>
              <w:sz w:val="32"/>
              <w:szCs w:val="32"/>
              <w:lang w:val="en-US" w:eastAsia="zh-CN" w:bidi="ar-SA"/>
            </w:rPr>
            <w:fldChar w:fldCharType="separate"/>
          </w:r>
        </w:p>
        <w:p w14:paraId="12128364">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_Toc22477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一、工作简况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_Toc22477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5BEE09C3">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_Toc24743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二、制定标准的必要性和意义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_Toc24743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297833B5">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_Toc16518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三、主要起草过程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_Toc16518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451E2329">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_Toc11607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四、编制原则和依据，与现行法律、法规、标准的关系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732A0050">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_Toc3719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五、主要条款说明，主要技术指标、参数、实验验证的论述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_Toc3719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7097285C">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_Toc19771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六、重大意见分歧的处理依据和结果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2ED4B361">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_Toc7881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七、实施标准的措施及建议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4B691FCB">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_Toc9172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八、知识产权说明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_Toc9172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50E7E6AD">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_Toc32643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九、其他应说明的事项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19661AED">
          <w:pPr>
            <w:pStyle w:val="22"/>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_Toc25652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sz w:val="32"/>
              <w:szCs w:val="32"/>
              <w:lang w:val="en-US" w:eastAsia="zh-CN"/>
            </w:rPr>
            <w:t>附件1：关于下达标准制（修）订的通知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_Toc25652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020D335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0" w:firstLineChars="0"/>
            <w:jc w:val="center"/>
            <w:textAlignment w:val="auto"/>
            <w:outlineLvl w:val="9"/>
            <w:rPr>
              <w:rFonts w:hint="eastAsia" w:ascii="方正小标宋简体" w:hAnsi="方正小标宋简体" w:eastAsia="方正小标宋简体" w:cs="方正小标宋简体"/>
              <w:kern w:val="44"/>
              <w:szCs w:val="44"/>
              <w:lang w:val="en-US" w:eastAsia="zh-CN" w:bidi="ar-SA"/>
            </w:rPr>
            <w:sectPr>
              <w:pgSz w:w="11906" w:h="16838"/>
              <w:pgMar w:top="2154" w:right="1474" w:bottom="2041" w:left="1587" w:header="851" w:footer="992" w:gutter="0"/>
              <w:cols w:space="0" w:num="1"/>
              <w:rtlGutter w:val="0"/>
              <w:docGrid w:type="lines" w:linePitch="435" w:charSpace="0"/>
            </w:sectPr>
          </w:pPr>
          <w:r>
            <w:rPr>
              <w:rFonts w:hint="eastAsia" w:ascii="仿宋_GB2312" w:hAnsi="仿宋_GB2312" w:eastAsia="仿宋_GB2312" w:cs="仿宋_GB2312"/>
              <w:kern w:val="44"/>
              <w:sz w:val="32"/>
              <w:szCs w:val="32"/>
              <w:lang w:val="en-US" w:eastAsia="zh-CN" w:bidi="ar-SA"/>
            </w:rPr>
            <w:fldChar w:fldCharType="end"/>
          </w:r>
        </w:p>
      </w:sdtContent>
    </w:sdt>
    <w:p w14:paraId="45749D80">
      <w:pPr>
        <w:keepNext/>
        <w:keepLines/>
        <w:widowControl w:val="0"/>
        <w:bidi w:val="0"/>
        <w:spacing w:beforeLines="0" w:beforeAutospacing="0" w:afterLines="0" w:afterAutospacing="0" w:line="560" w:lineRule="exact"/>
        <w:ind w:firstLine="0" w:firstLineChars="0"/>
        <w:jc w:val="center"/>
        <w:outlineLvl w:val="0"/>
        <w:rPr>
          <w:rFonts w:hint="eastAsia" w:ascii="方正小标宋简体" w:hAnsi="方正小标宋简体" w:eastAsia="方正小标宋简体" w:cs="方正小标宋简体"/>
          <w:kern w:val="44"/>
          <w:sz w:val="44"/>
          <w:szCs w:val="44"/>
          <w:lang w:val="en-US" w:eastAsia="zh-CN" w:bidi="ar-SA"/>
        </w:rPr>
      </w:pPr>
      <w:bookmarkStart w:id="5" w:name="_Toc15039"/>
      <w:r>
        <w:rPr>
          <w:rFonts w:hint="eastAsia" w:ascii="方正小标宋简体" w:hAnsi="方正小标宋简体" w:eastAsia="方正小标宋简体" w:cs="方正小标宋简体"/>
          <w:kern w:val="44"/>
          <w:sz w:val="44"/>
          <w:szCs w:val="44"/>
          <w:lang w:val="en-US" w:eastAsia="zh-CN" w:bidi="ar-SA"/>
        </w:rPr>
        <w:t>《流动科技馆科普教育服务规范》地方标准</w:t>
      </w:r>
      <w:bookmarkEnd w:id="0"/>
      <w:bookmarkEnd w:id="1"/>
      <w:bookmarkEnd w:id="2"/>
      <w:bookmarkEnd w:id="3"/>
      <w:bookmarkEnd w:id="4"/>
      <w:bookmarkEnd w:id="5"/>
    </w:p>
    <w:p w14:paraId="2C39544A">
      <w:pPr>
        <w:keepNext/>
        <w:keepLines/>
        <w:widowControl w:val="0"/>
        <w:bidi w:val="0"/>
        <w:spacing w:beforeLines="0" w:beforeAutospacing="0" w:afterLines="0" w:afterAutospacing="0" w:line="560" w:lineRule="exact"/>
        <w:ind w:firstLine="0" w:firstLineChars="0"/>
        <w:jc w:val="center"/>
        <w:outlineLvl w:val="0"/>
        <w:rPr>
          <w:rFonts w:hint="eastAsia" w:ascii="方正小标宋简体" w:hAnsi="方正小标宋简体" w:eastAsia="方正小标宋简体" w:cs="方正小标宋简体"/>
          <w:kern w:val="44"/>
          <w:sz w:val="44"/>
          <w:szCs w:val="44"/>
          <w:lang w:val="en-US" w:eastAsia="zh-CN" w:bidi="ar-SA"/>
        </w:rPr>
      </w:pPr>
      <w:bookmarkStart w:id="6" w:name="_Toc5690"/>
      <w:bookmarkStart w:id="7" w:name="_Toc32369"/>
      <w:bookmarkStart w:id="8" w:name="_Toc13931"/>
      <w:bookmarkStart w:id="9" w:name="_Toc15700"/>
      <w:bookmarkStart w:id="10" w:name="_Toc8347"/>
      <w:bookmarkStart w:id="11" w:name="_Toc2146"/>
      <w:r>
        <w:rPr>
          <w:rFonts w:hint="eastAsia" w:ascii="方正小标宋简体" w:hAnsi="方正小标宋简体" w:eastAsia="方正小标宋简体" w:cs="方正小标宋简体"/>
          <w:kern w:val="44"/>
          <w:sz w:val="44"/>
          <w:szCs w:val="44"/>
          <w:lang w:val="en-US" w:eastAsia="zh-CN" w:bidi="ar-SA"/>
        </w:rPr>
        <w:t>编制说明</w:t>
      </w:r>
      <w:bookmarkEnd w:id="6"/>
      <w:bookmarkEnd w:id="7"/>
      <w:bookmarkEnd w:id="8"/>
      <w:bookmarkEnd w:id="9"/>
      <w:bookmarkEnd w:id="10"/>
      <w:bookmarkEnd w:id="11"/>
    </w:p>
    <w:p w14:paraId="6CAAAF4F"/>
    <w:p w14:paraId="78659A97">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12" w:name="_Toc7068"/>
      <w:bookmarkStart w:id="13" w:name="_Toc22477"/>
      <w:r>
        <w:rPr>
          <w:rFonts w:hint="eastAsia" w:ascii="黑体" w:hAnsi="黑体" w:eastAsia="黑体" w:cs="黑体"/>
          <w:kern w:val="2"/>
          <w:sz w:val="32"/>
          <w:szCs w:val="32"/>
          <w:lang w:val="en-US" w:eastAsia="zh-CN" w:bidi="ar-SA"/>
        </w:rPr>
        <w:t>一、工作简况</w:t>
      </w:r>
      <w:bookmarkEnd w:id="12"/>
      <w:bookmarkEnd w:id="13"/>
    </w:p>
    <w:p w14:paraId="5212C62A">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14" w:name="_Toc8205"/>
      <w:bookmarkStart w:id="15" w:name="_Toc31700"/>
      <w:bookmarkStart w:id="16" w:name="_Toc14529"/>
      <w:bookmarkStart w:id="17" w:name="_Toc18634"/>
      <w:bookmarkStart w:id="18" w:name="_Toc17026"/>
      <w:r>
        <w:rPr>
          <w:rFonts w:hint="eastAsia" w:ascii="楷体" w:hAnsi="楷体" w:eastAsia="楷体" w:cs="楷体"/>
          <w:b/>
          <w:bCs/>
          <w:kern w:val="0"/>
          <w:sz w:val="32"/>
          <w:szCs w:val="32"/>
          <w:lang w:val="en-US" w:eastAsia="zh-CN" w:bidi="ar"/>
        </w:rPr>
        <w:t>（一）任务来源</w:t>
      </w:r>
      <w:bookmarkEnd w:id="14"/>
      <w:bookmarkEnd w:id="15"/>
      <w:bookmarkEnd w:id="16"/>
      <w:bookmarkEnd w:id="17"/>
      <w:bookmarkEnd w:id="18"/>
    </w:p>
    <w:p w14:paraId="6B09C34C">
      <w:pPr>
        <w:spacing w:line="560" w:lineRule="exact"/>
        <w:ind w:firstLine="640" w:firstLineChars="200"/>
        <w:rPr>
          <w:rFonts w:hint="eastAsia" w:cs="仿宋_GB2312"/>
          <w:sz w:val="32"/>
          <w:szCs w:val="32"/>
          <w:lang w:val="en-US" w:eastAsia="zh-CN"/>
        </w:rPr>
      </w:pPr>
      <w:r>
        <w:rPr>
          <w:rFonts w:hint="default" w:cs="仿宋_GB2312"/>
          <w:sz w:val="32"/>
          <w:szCs w:val="32"/>
          <w:lang w:val="en-US" w:eastAsia="zh-CN"/>
        </w:rPr>
        <w:t>202</w:t>
      </w: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default"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cs="仿宋_GB2312"/>
          <w:sz w:val="32"/>
          <w:szCs w:val="32"/>
          <w:lang w:val="en-US" w:eastAsia="zh-CN"/>
        </w:rPr>
        <w:t>1</w:t>
      </w:r>
      <w:r>
        <w:rPr>
          <w:rFonts w:hint="eastAsia" w:cs="仿宋_GB2312"/>
          <w:sz w:val="32"/>
          <w:szCs w:val="32"/>
          <w:lang w:val="en-US" w:eastAsia="zh-CN"/>
        </w:rPr>
        <w:t>0</w:t>
      </w:r>
      <w:r>
        <w:rPr>
          <w:rFonts w:hint="eastAsia" w:ascii="仿宋_GB2312" w:hAnsi="仿宋_GB2312" w:eastAsia="仿宋_GB2312" w:cs="仿宋_GB2312"/>
          <w:sz w:val="32"/>
          <w:szCs w:val="32"/>
          <w:lang w:val="en-US" w:eastAsia="zh-CN"/>
        </w:rPr>
        <w:t>日，由宁夏回族自治区科学技术馆（宁夏青少年科技活动中心）</w:t>
      </w:r>
      <w:bookmarkStart w:id="100" w:name="_GoBack"/>
      <w:bookmarkEnd w:id="100"/>
      <w:r>
        <w:rPr>
          <w:rFonts w:hint="eastAsia" w:ascii="仿宋_GB2312" w:hAnsi="仿宋_GB2312" w:eastAsia="仿宋_GB2312" w:cs="仿宋_GB2312"/>
          <w:sz w:val="32"/>
          <w:szCs w:val="32"/>
          <w:lang w:val="en-US" w:eastAsia="zh-CN"/>
        </w:rPr>
        <w:t>（简称“宁夏科技馆”）申请地方标准的立项，</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《自治区市场监管厅关于下达“两新”工作地方标准制（修）订计划的通知》（</w:t>
      </w:r>
      <w:r>
        <w:rPr>
          <w:rFonts w:hint="eastAsia" w:cs="仿宋_GB2312"/>
          <w:sz w:val="32"/>
          <w:szCs w:val="32"/>
          <w:lang w:val="en-US" w:eastAsia="zh-CN"/>
        </w:rPr>
        <w:t>见附件1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lang w:val="en-US" w:eastAsia="zh-CN"/>
        </w:rPr>
        <w:t>流动科技馆科普教育服务规范</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val="en-US" w:eastAsia="zh-CN"/>
        </w:rPr>
        <w:t>方标准的</w:t>
      </w:r>
      <w:r>
        <w:rPr>
          <w:rFonts w:hint="eastAsia" w:cs="仿宋_GB2312"/>
          <w:color w:val="auto"/>
          <w:sz w:val="32"/>
          <w:szCs w:val="32"/>
          <w:lang w:val="en-US" w:eastAsia="zh-CN"/>
        </w:rPr>
        <w:t>制定。标准由宁夏回族自治区科学技术协会提出、归口并组织实施</w:t>
      </w:r>
      <w:r>
        <w:rPr>
          <w:rFonts w:hint="eastAsia" w:cs="仿宋_GB2312"/>
          <w:sz w:val="32"/>
          <w:szCs w:val="32"/>
          <w:lang w:val="en-US" w:eastAsia="zh-CN"/>
        </w:rPr>
        <w:t>。</w:t>
      </w:r>
    </w:p>
    <w:p w14:paraId="2E375E8E">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19" w:name="_Toc7389"/>
      <w:bookmarkStart w:id="20" w:name="_Toc1023"/>
      <w:bookmarkStart w:id="21" w:name="_Toc19276"/>
      <w:bookmarkStart w:id="22" w:name="_Toc24503"/>
      <w:bookmarkStart w:id="23" w:name="_Toc15565"/>
      <w:r>
        <w:rPr>
          <w:rFonts w:hint="eastAsia" w:ascii="楷体" w:hAnsi="楷体" w:eastAsia="楷体" w:cs="楷体"/>
          <w:b/>
          <w:bCs/>
          <w:kern w:val="0"/>
          <w:sz w:val="32"/>
          <w:szCs w:val="32"/>
          <w:lang w:val="en-US" w:eastAsia="zh-CN" w:bidi="ar"/>
        </w:rPr>
        <w:t>（二）起草单位</w:t>
      </w:r>
      <w:bookmarkEnd w:id="19"/>
      <w:bookmarkEnd w:id="20"/>
      <w:bookmarkEnd w:id="21"/>
      <w:bookmarkEnd w:id="22"/>
      <w:bookmarkEnd w:id="23"/>
    </w:p>
    <w:p w14:paraId="62014598">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本标准项目主要承担单位：</w:t>
      </w:r>
      <w:r>
        <w:rPr>
          <w:rFonts w:hint="eastAsia" w:ascii="仿宋_GB2312" w:hAnsi="仿宋_GB2312" w:eastAsia="仿宋_GB2312" w:cs="仿宋_GB2312"/>
          <w:b w:val="0"/>
          <w:bCs w:val="0"/>
          <w:sz w:val="32"/>
          <w:szCs w:val="32"/>
          <w:lang w:val="en-US" w:eastAsia="zh-CN"/>
        </w:rPr>
        <w:t>宁夏回族自治区科学技术馆（宁夏青少年科技活动中心）</w:t>
      </w:r>
      <w:r>
        <w:rPr>
          <w:rFonts w:hint="eastAsia" w:cs="仿宋_GB2312"/>
          <w:b w:val="0"/>
          <w:bCs w:val="0"/>
          <w:sz w:val="32"/>
          <w:szCs w:val="32"/>
          <w:lang w:val="en-US" w:eastAsia="zh-CN"/>
        </w:rPr>
        <w:t>。</w:t>
      </w:r>
    </w:p>
    <w:p w14:paraId="16F7A7B6">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协作</w:t>
      </w:r>
      <w:r>
        <w:rPr>
          <w:rFonts w:ascii="仿宋_GB2312" w:hAnsi="仿宋_GB2312" w:eastAsia="仿宋_GB2312" w:cs="仿宋_GB2312"/>
          <w:b/>
          <w:bCs/>
          <w:sz w:val="32"/>
          <w:szCs w:val="32"/>
        </w:rPr>
        <w:t>单位</w:t>
      </w:r>
      <w:r>
        <w:rPr>
          <w:rFonts w:hint="eastAsia" w:ascii="仿宋_GB2312" w:hAnsi="仿宋_GB2312" w:eastAsia="仿宋_GB2312" w:cs="仿宋_GB2312"/>
          <w:b/>
          <w:bCs/>
          <w:sz w:val="32"/>
          <w:szCs w:val="32"/>
        </w:rPr>
        <w:t>为</w:t>
      </w:r>
      <w:r>
        <w:rPr>
          <w:rFonts w:ascii="仿宋_GB2312" w:hAnsi="仿宋_GB2312" w:eastAsia="仿宋_GB2312" w:cs="仿宋_GB2312"/>
          <w:b/>
          <w:bCs/>
          <w:sz w:val="32"/>
          <w:szCs w:val="32"/>
        </w:rPr>
        <w:t>：</w:t>
      </w:r>
      <w:r>
        <w:rPr>
          <w:rFonts w:hint="eastAsia" w:cs="仿宋_GB2312"/>
          <w:sz w:val="32"/>
          <w:szCs w:val="32"/>
          <w:lang w:val="en-US" w:eastAsia="zh-CN"/>
        </w:rPr>
        <w:t>高质标准化（宁夏）管理科学研究院、</w:t>
      </w:r>
    </w:p>
    <w:p w14:paraId="78178647">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24" w:name="_Toc28303"/>
      <w:bookmarkStart w:id="25" w:name="_Toc5215"/>
      <w:bookmarkStart w:id="26" w:name="_Toc2268"/>
      <w:bookmarkStart w:id="27" w:name="_Toc21799"/>
      <w:bookmarkStart w:id="28" w:name="_Toc21344"/>
      <w:r>
        <w:rPr>
          <w:rFonts w:hint="eastAsia" w:ascii="楷体" w:hAnsi="楷体" w:eastAsia="楷体" w:cs="楷体"/>
          <w:b/>
          <w:bCs/>
          <w:kern w:val="0"/>
          <w:sz w:val="32"/>
          <w:szCs w:val="32"/>
          <w:lang w:val="en-US" w:eastAsia="zh-CN" w:bidi="ar"/>
        </w:rPr>
        <w:t>（三）主要起草人及分工</w:t>
      </w:r>
      <w:bookmarkEnd w:id="24"/>
      <w:bookmarkEnd w:id="25"/>
      <w:bookmarkEnd w:id="26"/>
      <w:bookmarkEnd w:id="27"/>
      <w:bookmarkEnd w:id="28"/>
    </w:p>
    <w:p w14:paraId="37C9E14E">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主要</w:t>
      </w:r>
      <w:r>
        <w:rPr>
          <w:rFonts w:ascii="仿宋_GB2312" w:hAnsi="仿宋_GB2312" w:eastAsia="仿宋_GB2312" w:cs="仿宋_GB2312"/>
          <w:b/>
          <w:bCs/>
          <w:sz w:val="32"/>
          <w:szCs w:val="32"/>
        </w:rPr>
        <w:t>起草人</w:t>
      </w:r>
      <w:r>
        <w:rPr>
          <w:rFonts w:hint="eastAsia" w:cs="仿宋_GB2312"/>
          <w:b/>
          <w:bCs/>
          <w:sz w:val="32"/>
          <w:szCs w:val="32"/>
          <w:lang w:eastAsia="zh-CN"/>
        </w:rPr>
        <w:t>：</w:t>
      </w:r>
      <w:r>
        <w:rPr>
          <w:rFonts w:hint="eastAsia" w:cs="仿宋_GB2312"/>
          <w:b w:val="0"/>
          <w:bCs w:val="0"/>
          <w:sz w:val="32"/>
          <w:szCs w:val="32"/>
          <w:lang w:eastAsia="zh-CN"/>
        </w:rPr>
        <w:t>张洁、王田浩、孙娜、唐剑波、杜颢、马玉红、张一、马海波、白俸荣、冯华、路辉、沙莎、李晓蕾</w:t>
      </w:r>
      <w:r>
        <w:rPr>
          <w:rFonts w:hint="eastAsia" w:cs="仿宋_GB2312"/>
          <w:b w:val="0"/>
          <w:bCs w:val="0"/>
          <w:sz w:val="32"/>
          <w:szCs w:val="32"/>
          <w:lang w:val="en-US" w:eastAsia="zh-CN"/>
        </w:rPr>
        <w:t>、马立鹏</w:t>
      </w:r>
      <w:r>
        <w:rPr>
          <w:rFonts w:hint="eastAsia" w:cs="仿宋_GB2312"/>
          <w:b w:val="0"/>
          <w:bCs w:val="0"/>
          <w:sz w:val="32"/>
          <w:szCs w:val="32"/>
          <w:lang w:eastAsia="zh-CN"/>
        </w:rPr>
        <w:t>、</w:t>
      </w:r>
      <w:r>
        <w:rPr>
          <w:rFonts w:hint="eastAsia" w:cs="仿宋_GB2312"/>
          <w:b w:val="0"/>
          <w:bCs w:val="0"/>
          <w:sz w:val="32"/>
          <w:szCs w:val="32"/>
          <w:lang w:val="en-US" w:eastAsia="zh-CN"/>
        </w:rPr>
        <w:t>郭少豫、马婷婷、刘艳蓉、石鹏飞</w:t>
      </w:r>
      <w:r>
        <w:rPr>
          <w:rFonts w:hint="eastAsia" w:cs="仿宋_GB2312"/>
          <w:b w:val="0"/>
          <w:bCs w:val="0"/>
          <w:sz w:val="32"/>
          <w:szCs w:val="32"/>
          <w:lang w:eastAsia="zh-CN"/>
        </w:rPr>
        <w:t>。</w:t>
      </w:r>
    </w:p>
    <w:p w14:paraId="3099C85C">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3" w:firstLineChars="200"/>
        <w:jc w:val="both"/>
        <w:textAlignment w:val="auto"/>
        <w:outlineLvl w:val="1"/>
        <w:rPr>
          <w:rFonts w:hint="eastAsia" w:ascii="仿宋_GB2312" w:hAnsi="仿宋_GB2312" w:eastAsia="仿宋_GB2312" w:cs="仿宋_GB2312"/>
          <w:b/>
          <w:bCs/>
          <w:kern w:val="2"/>
          <w:sz w:val="32"/>
          <w:szCs w:val="32"/>
          <w:lang w:val="en-US" w:eastAsia="zh-CN" w:bidi="ar-SA"/>
        </w:rPr>
      </w:pPr>
      <w:bookmarkStart w:id="29" w:name="_Toc12357"/>
      <w:bookmarkStart w:id="30" w:name="_Toc30774"/>
      <w:bookmarkStart w:id="31" w:name="_Toc14404"/>
      <w:bookmarkStart w:id="32" w:name="_Toc22065"/>
      <w:bookmarkStart w:id="33" w:name="_Toc26956"/>
      <w:r>
        <w:rPr>
          <w:rFonts w:hint="eastAsia" w:ascii="仿宋_GB2312" w:hAnsi="仿宋_GB2312" w:eastAsia="仿宋_GB2312" w:cs="仿宋_GB2312"/>
          <w:b/>
          <w:bCs/>
          <w:kern w:val="2"/>
          <w:sz w:val="32"/>
          <w:szCs w:val="32"/>
          <w:lang w:val="en-US" w:eastAsia="zh-CN" w:bidi="ar-SA"/>
        </w:rPr>
        <w:t>标准起草人</w:t>
      </w:r>
      <w:r>
        <w:rPr>
          <w:rFonts w:hint="eastAsia" w:cs="仿宋_GB2312"/>
          <w:b/>
          <w:bCs/>
          <w:kern w:val="2"/>
          <w:sz w:val="32"/>
          <w:szCs w:val="32"/>
          <w:lang w:val="en-US" w:eastAsia="zh-CN" w:bidi="ar-SA"/>
        </w:rPr>
        <w:t>员</w:t>
      </w:r>
      <w:r>
        <w:rPr>
          <w:rFonts w:hint="eastAsia" w:ascii="仿宋_GB2312" w:hAnsi="仿宋_GB2312" w:eastAsia="仿宋_GB2312" w:cs="仿宋_GB2312"/>
          <w:b/>
          <w:bCs/>
          <w:kern w:val="2"/>
          <w:sz w:val="32"/>
          <w:szCs w:val="32"/>
          <w:lang w:val="en-US" w:eastAsia="zh-CN" w:bidi="ar-SA"/>
        </w:rPr>
        <w:t>具体分工如下。</w:t>
      </w:r>
      <w:bookmarkEnd w:id="29"/>
      <w:bookmarkEnd w:id="30"/>
      <w:bookmarkEnd w:id="31"/>
      <w:bookmarkEnd w:id="32"/>
      <w:bookmarkEnd w:id="33"/>
    </w:p>
    <w:p w14:paraId="52512CC1">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张洁、王田浩：负责标准编制工作的全面指导和统筹审核，审定标准框架结构，审核工作方案、项目预算，提出修改意见。</w:t>
      </w:r>
    </w:p>
    <w:p w14:paraId="78D71C72">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孙娜、唐剑波、杜颢：负责标准的技术指导，编制核心技术指标。</w:t>
      </w:r>
    </w:p>
    <w:p w14:paraId="4E57A836">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马立鹏、郭少豫：开展需求分析，起草标准工作方案，确定标准结构，审核标准文本</w:t>
      </w:r>
      <w:r>
        <w:rPr>
          <w:rFonts w:hint="eastAsia" w:cs="仿宋_GB2312"/>
          <w:kern w:val="2"/>
          <w:sz w:val="32"/>
          <w:szCs w:val="32"/>
          <w:lang w:val="en-US" w:eastAsia="zh-CN" w:bidi="ar-SA"/>
        </w:rPr>
        <w:t>、撰写编制说明</w:t>
      </w:r>
      <w:r>
        <w:rPr>
          <w:rFonts w:hint="eastAsia" w:ascii="仿宋_GB2312" w:hAnsi="仿宋_GB2312" w:eastAsia="仿宋_GB2312" w:cs="仿宋_GB2312"/>
          <w:kern w:val="2"/>
          <w:sz w:val="32"/>
          <w:szCs w:val="32"/>
          <w:lang w:val="en-US" w:eastAsia="zh-CN" w:bidi="ar-SA"/>
        </w:rPr>
        <w:t>。</w:t>
      </w:r>
    </w:p>
    <w:p w14:paraId="34269641">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马玉红、张一、马海波、白俸荣：负责相关会议的组织召开与日常工作的协调沟通，校对、完善标准内容。</w:t>
      </w:r>
    </w:p>
    <w:p w14:paraId="6DFCBD2A">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冯华、路辉、沙莎、李晓蕾：组织收集相关法律法规、政策文件；梳理</w:t>
      </w:r>
      <w:r>
        <w:rPr>
          <w:rFonts w:hint="eastAsia" w:cs="仿宋_GB2312"/>
          <w:kern w:val="2"/>
          <w:sz w:val="32"/>
          <w:szCs w:val="32"/>
          <w:lang w:val="en-US" w:eastAsia="zh-CN" w:bidi="ar-SA"/>
        </w:rPr>
        <w:t>流动科技馆运行和科普教育服务</w:t>
      </w:r>
      <w:r>
        <w:rPr>
          <w:rFonts w:hint="eastAsia" w:ascii="仿宋_GB2312" w:hAnsi="仿宋_GB2312" w:eastAsia="仿宋_GB2312" w:cs="仿宋_GB2312"/>
          <w:kern w:val="2"/>
          <w:sz w:val="32"/>
          <w:szCs w:val="32"/>
          <w:lang w:val="en-US" w:eastAsia="zh-CN" w:bidi="ar-SA"/>
        </w:rPr>
        <w:t>现状、优势不足和相关制度、管理文件、以及标准文件的审议。</w:t>
      </w:r>
    </w:p>
    <w:p w14:paraId="16905103">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马婷婷、刘艳蓉、石鹏飞：负责流动科技馆科普教育服务相关标准和政策的收集与资料查阅、以及标准文件的审议。</w:t>
      </w:r>
    </w:p>
    <w:p w14:paraId="4EF76ACD">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34" w:name="_Toc1253"/>
      <w:bookmarkStart w:id="35" w:name="_Toc24743"/>
      <w:r>
        <w:rPr>
          <w:rFonts w:hint="eastAsia" w:ascii="黑体" w:hAnsi="黑体" w:eastAsia="黑体" w:cs="黑体"/>
          <w:kern w:val="2"/>
          <w:sz w:val="32"/>
          <w:szCs w:val="32"/>
          <w:lang w:val="en-US" w:eastAsia="zh-CN" w:bidi="ar-SA"/>
        </w:rPr>
        <w:t>二</w:t>
      </w:r>
      <w:r>
        <w:rPr>
          <w:rFonts w:ascii="黑体" w:hAnsi="黑体" w:eastAsia="黑体" w:cs="黑体"/>
          <w:kern w:val="2"/>
          <w:sz w:val="32"/>
          <w:szCs w:val="32"/>
          <w:lang w:val="en-US" w:eastAsia="zh-CN" w:bidi="ar-SA"/>
        </w:rPr>
        <w:t>、制定标准的必要性和意义</w:t>
      </w:r>
      <w:bookmarkEnd w:id="34"/>
      <w:bookmarkEnd w:id="35"/>
    </w:p>
    <w:p w14:paraId="400A0323">
      <w:pPr>
        <w:rPr>
          <w:rFonts w:hint="eastAsia"/>
        </w:rPr>
      </w:pPr>
      <w:r>
        <w:rPr>
          <w:rFonts w:hint="eastAsia"/>
        </w:rPr>
        <w:t>“中国流动科技馆”项目工作</w:t>
      </w:r>
      <w:r>
        <w:rPr>
          <w:rFonts w:hint="eastAsia"/>
          <w:lang w:val="en-US" w:eastAsia="zh-CN"/>
        </w:rPr>
        <w:t>于启动</w:t>
      </w:r>
      <w:r>
        <w:rPr>
          <w:rFonts w:hint="eastAsia"/>
        </w:rPr>
        <w:t>2010年6月，由中国科技馆负责项目的具体组织施。该项目以“广覆盖、系列化、可持续”为指导方针，以“参与、互动、体验”为教育理念，以经过模块化设计后的科技馆展品和活动为载体，以巡回展出的方式，将展览资源送到尚未建设科技馆的县（市），为公众特别是青少年提供免费的科学教育服务，解决我国基层科普设施不足和科普资源配置不足的问题，以便加快科学知识及科学观念在边远地区、贫困地区的传播速度和覆盖广度，促进公民科学素质薄弱地区公众科学素质的提高，实现科普资源的公平和普惠。</w:t>
      </w:r>
    </w:p>
    <w:p w14:paraId="092050D8">
      <w:pPr>
        <w:rPr>
          <w:rFonts w:hint="eastAsia"/>
        </w:rPr>
      </w:pPr>
      <w:r>
        <w:rPr>
          <w:rFonts w:hint="eastAsia"/>
        </w:rPr>
        <w:t>2016年5月，习近平总书记在“科技三会”上提出</w:t>
      </w:r>
      <w:r>
        <w:rPr>
          <w:rFonts w:hint="eastAsia"/>
          <w:b/>
          <w:bCs/>
        </w:rPr>
        <w:t>“科技创新、科学普及是实现创新发展的两翼，要把科学普及放在与科技创新同等重要的位置。”</w:t>
      </w:r>
      <w:r>
        <w:rPr>
          <w:rFonts w:hint="eastAsia"/>
        </w:rPr>
        <w:t>2021年10月10日，中共中央国务院印发《国家标准化发展纲要》，强调“标准是经济活动和社会发展的技术支撑，是国家基础性制度的重要方面。”2021年6月，国务院印发《全民科学素质行动规划纲要（2021-2035年）》，提出“完善科普基础设施建设管理的规范和标准，建立健全分级评价制度。”</w:t>
      </w:r>
      <w:r>
        <w:rPr>
          <w:rFonts w:hint="eastAsia"/>
          <w:lang w:val="en-US" w:eastAsia="zh-CN"/>
        </w:rPr>
        <w:t>两项</w:t>
      </w:r>
      <w:r>
        <w:rPr>
          <w:rFonts w:hint="eastAsia"/>
        </w:rPr>
        <w:t>《纲要》从服务业和社会事业领域、到公共文化服务领域和科普基础设施领域，在相关标准化建设方面作出了顶层设计和宏观部署。根据《中华人民共和国公共文化服务保障法》的相关规定，科技馆是公共文化服务设施的组成部分，同时也是重要的科普基础设施，因此，以上两个政策文件为本标准的编制提供了政策依据和基本遵循。</w:t>
      </w:r>
    </w:p>
    <w:p w14:paraId="6019A9C3">
      <w:pPr>
        <w:rPr>
          <w:rFonts w:hint="eastAsia"/>
        </w:rPr>
      </w:pPr>
      <w:r>
        <w:rPr>
          <w:rFonts w:hint="eastAsia"/>
        </w:rPr>
        <w:t>为贯彻落实上述文件要求，2021年，中国科协发布了与科技馆建设和发展密切相关的多部具体领域规划，将标准化工作摆在科技馆事业发展的突出位置，使其成为引领科技馆高质量发展的重要抓手。2021年12月，中国科协印发《现代科技馆体系发展“十四五”规划（2021—2025年）》，将“标准化”贯穿于“十四五”期间现代科技馆体系（以下简称“科技馆体系”）发展的指导思想、基本原则中，并提出</w:t>
      </w:r>
      <w:r>
        <w:rPr>
          <w:rFonts w:hint="eastAsia"/>
          <w:b/>
          <w:bCs/>
          <w:lang w:eastAsia="zh-CN"/>
        </w:rPr>
        <w:t>“</w:t>
      </w:r>
      <w:r>
        <w:rPr>
          <w:rFonts w:hint="eastAsia"/>
          <w:b/>
          <w:bCs/>
        </w:rPr>
        <w:t>以实体科技馆为依托，统筹流动科技馆、科普大篷车、农村中学科技馆、数字科技馆等协同发展</w:t>
      </w:r>
      <w:r>
        <w:rPr>
          <w:rFonts w:hint="eastAsia"/>
          <w:b/>
          <w:bCs/>
          <w:lang w:eastAsia="zh-CN"/>
        </w:rPr>
        <w:t>”“</w:t>
      </w:r>
      <w:r>
        <w:rPr>
          <w:rFonts w:hint="eastAsia"/>
          <w:b/>
          <w:bCs/>
        </w:rPr>
        <w:t>按照</w:t>
      </w:r>
      <w:r>
        <w:rPr>
          <w:rFonts w:hint="eastAsia"/>
          <w:b/>
          <w:bCs/>
          <w:lang w:eastAsia="zh-CN"/>
        </w:rPr>
        <w:t>‘</w:t>
      </w:r>
      <w:r>
        <w:rPr>
          <w:rFonts w:hint="eastAsia"/>
          <w:b/>
          <w:bCs/>
        </w:rPr>
        <w:t>省域统筹政策与资源、市域集散调配资源、县域组织落实</w:t>
      </w:r>
      <w:r>
        <w:rPr>
          <w:rFonts w:hint="eastAsia"/>
          <w:b/>
          <w:bCs/>
          <w:lang w:eastAsia="zh-CN"/>
        </w:rPr>
        <w:t>’</w:t>
      </w:r>
      <w:r>
        <w:rPr>
          <w:rFonts w:hint="eastAsia"/>
          <w:b/>
          <w:bCs/>
        </w:rPr>
        <w:t>的思路构建省级科技馆体系，实现格局重塑、功能扩展、融合发展</w:t>
      </w:r>
      <w:r>
        <w:rPr>
          <w:rFonts w:hint="eastAsia"/>
          <w:b/>
          <w:bCs/>
          <w:lang w:eastAsia="zh-CN"/>
        </w:rPr>
        <w:t>”</w:t>
      </w:r>
      <w:r>
        <w:rPr>
          <w:rFonts w:hint="eastAsia"/>
          <w:lang w:val="en-US" w:eastAsia="zh-CN"/>
        </w:rPr>
        <w:t>等</w:t>
      </w:r>
      <w:r>
        <w:rPr>
          <w:rFonts w:hint="eastAsia"/>
        </w:rPr>
        <w:t>具体要求。特别是2022年9月4日中共中央办公厅、国务院办公厅印发的《关于新时代进一步加强科学技术普及工作的意见》，提出“全面提升科技馆服务能力，推动有条件的地方因地制宜建设科技馆，支持和鼓励多元主体参与科技馆等科普基础设施建设，加强科普基础设施、科普产品及服务规范管理。”为科技馆今后的发展进一步指明了方向。</w:t>
      </w:r>
    </w:p>
    <w:p w14:paraId="67BF477F">
      <w:r>
        <w:rPr>
          <w:rFonts w:hint="eastAsia"/>
          <w:lang w:eastAsia="zh-CN"/>
        </w:rPr>
        <w:t>“</w:t>
      </w:r>
      <w:r>
        <w:rPr>
          <w:rFonts w:hint="eastAsia"/>
          <w:lang w:val="en-US" w:eastAsia="zh-CN"/>
        </w:rPr>
        <w:t>流动科技馆</w:t>
      </w:r>
      <w:r>
        <w:rPr>
          <w:rFonts w:hint="eastAsia"/>
          <w:lang w:eastAsia="zh-CN"/>
        </w:rPr>
        <w:t>”</w:t>
      </w:r>
      <w:r>
        <w:rPr>
          <w:rFonts w:hint="eastAsia"/>
        </w:rPr>
        <w:t>既是教育资源的共享，也是科普服务工作者向社会基层、社会公众提供公益服务</w:t>
      </w:r>
      <w:r>
        <w:rPr>
          <w:rFonts w:hint="eastAsia"/>
          <w:lang w:val="en-US" w:eastAsia="zh-CN"/>
        </w:rPr>
        <w:t>、履行社会责任的有效载体。因此，制定科普服务标准既可以建立健全、规范流动性服务</w:t>
      </w:r>
      <w:r>
        <w:rPr>
          <w:rFonts w:hint="eastAsia"/>
        </w:rPr>
        <w:t>的各项工作，也可以通过标准构建流动性服务模式，提高运营服务效率、降低沟通及管理成本</w:t>
      </w:r>
      <w:r>
        <w:rPr>
          <w:rFonts w:hint="eastAsia"/>
          <w:lang w:eastAsia="zh-CN"/>
        </w:rPr>
        <w:t>。</w:t>
      </w:r>
      <w:r>
        <w:rPr>
          <w:rFonts w:hint="eastAsia"/>
        </w:rPr>
        <w:t>同时，也体现科普服务机构现代、科技、领先的服务能力和公益服务贡献的责任意识。</w:t>
      </w:r>
    </w:p>
    <w:p w14:paraId="5883CF6A">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36" w:name="_Toc12237"/>
      <w:bookmarkStart w:id="37" w:name="_Toc4104"/>
      <w:bookmarkStart w:id="38" w:name="_Toc16518"/>
      <w:r>
        <w:rPr>
          <w:rFonts w:hint="eastAsia" w:ascii="黑体" w:hAnsi="黑体" w:eastAsia="黑体" w:cs="黑体"/>
          <w:kern w:val="2"/>
          <w:sz w:val="32"/>
          <w:szCs w:val="32"/>
          <w:lang w:val="en-US" w:eastAsia="zh-CN" w:bidi="ar-SA"/>
        </w:rPr>
        <w:t>三</w:t>
      </w:r>
      <w:r>
        <w:rPr>
          <w:rFonts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主要起草过程</w:t>
      </w:r>
      <w:bookmarkEnd w:id="36"/>
      <w:bookmarkEnd w:id="37"/>
      <w:bookmarkEnd w:id="38"/>
    </w:p>
    <w:p w14:paraId="2DE617F9">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39" w:name="_Toc25271"/>
      <w:bookmarkStart w:id="40" w:name="_Toc17088"/>
      <w:bookmarkStart w:id="41" w:name="_Toc22041"/>
      <w:bookmarkStart w:id="42" w:name="_Toc22269"/>
      <w:bookmarkStart w:id="43" w:name="_Toc9041"/>
      <w:r>
        <w:rPr>
          <w:rFonts w:hint="eastAsia" w:ascii="楷体" w:hAnsi="楷体" w:eastAsia="楷体" w:cs="楷体"/>
          <w:b/>
          <w:bCs/>
          <w:kern w:val="0"/>
          <w:sz w:val="32"/>
          <w:szCs w:val="32"/>
          <w:lang w:val="en-US" w:eastAsia="zh-CN" w:bidi="ar"/>
        </w:rPr>
        <w:t>（一）</w:t>
      </w:r>
      <w:bookmarkEnd w:id="39"/>
      <w:bookmarkEnd w:id="40"/>
      <w:bookmarkEnd w:id="41"/>
      <w:bookmarkEnd w:id="42"/>
      <w:bookmarkEnd w:id="43"/>
      <w:r>
        <w:rPr>
          <w:rFonts w:hint="eastAsia" w:ascii="楷体" w:hAnsi="楷体" w:eastAsia="楷体" w:cs="楷体"/>
          <w:b/>
          <w:bCs/>
          <w:kern w:val="0"/>
          <w:sz w:val="32"/>
          <w:szCs w:val="32"/>
          <w:lang w:val="en-US" w:eastAsia="zh-CN" w:bidi="ar"/>
        </w:rPr>
        <w:t>成立起草组、确定分工</w:t>
      </w:r>
    </w:p>
    <w:p w14:paraId="4AD536EB">
      <w:pPr>
        <w:rPr>
          <w:rFonts w:hint="eastAsia"/>
          <w:lang w:val="en-US" w:eastAsia="zh-CN"/>
        </w:rPr>
      </w:pPr>
      <w:r>
        <w:rPr>
          <w:rFonts w:hint="eastAsia" w:ascii="仿宋_GB2312" w:eastAsia="仿宋_GB2312"/>
          <w:lang w:val="en-US" w:eastAsia="zh-CN"/>
        </w:rPr>
        <w:t>2024年7月～10月，为进一步落实相关政策要求和工作部署，建立</w:t>
      </w:r>
      <w:r>
        <w:rPr>
          <w:rFonts w:hint="eastAsia"/>
          <w:lang w:val="en-US" w:eastAsia="zh-CN"/>
        </w:rPr>
        <w:t>健全“流动科技馆”</w:t>
      </w:r>
      <w:r>
        <w:rPr>
          <w:rFonts w:hint="eastAsia" w:ascii="仿宋_GB2312" w:eastAsia="仿宋_GB2312"/>
          <w:lang w:val="en-US" w:eastAsia="zh-CN"/>
        </w:rPr>
        <w:t>运行</w:t>
      </w:r>
      <w:r>
        <w:rPr>
          <w:rFonts w:hint="eastAsia"/>
          <w:lang w:val="en-US" w:eastAsia="zh-CN"/>
        </w:rPr>
        <w:t>和服务</w:t>
      </w:r>
      <w:r>
        <w:rPr>
          <w:rFonts w:hint="eastAsia" w:ascii="仿宋_GB2312" w:eastAsia="仿宋_GB2312"/>
          <w:lang w:val="en-US" w:eastAsia="zh-CN"/>
        </w:rPr>
        <w:t>模式、对外推广先进经验和做法，宁夏科技馆联合高质标准化（宁夏）管理科学研究院（简称“高质标准化研究院”）成立标准起草组，开始标准编制的调研分析、方向确定、技术研讨和框架搭建与调整。2024年10月，</w:t>
      </w:r>
      <w:r>
        <w:rPr>
          <w:rFonts w:hint="eastAsia"/>
        </w:rPr>
        <w:t>地方标准项目任务下达后，</w:t>
      </w:r>
      <w:r>
        <w:rPr>
          <w:rFonts w:hint="eastAsia" w:ascii="仿宋_GB2312" w:eastAsia="仿宋_GB2312"/>
          <w:lang w:val="en-US" w:eastAsia="zh-CN"/>
        </w:rPr>
        <w:t>双方成立标准起草组，研讨并制定了标准制定工作计划，明确了制定任务的责任分工和时间进度，并就前期标准制定相关工作进行了进一步讨论，确定了标准编制总体思路和总体原则。</w:t>
      </w:r>
    </w:p>
    <w:p w14:paraId="19D05F8B">
      <w:pPr>
        <w:widowControl w:val="0"/>
        <w:bidi w:val="0"/>
        <w:spacing w:before="0" w:beforeAutospacing="0" w:after="0" w:afterAutospacing="0" w:line="560" w:lineRule="exact"/>
        <w:ind w:firstLine="643" w:firstLineChars="200"/>
        <w:jc w:val="both"/>
        <w:outlineLvl w:val="1"/>
        <w:rPr>
          <w:rFonts w:hint="default" w:ascii="楷体" w:hAnsi="楷体" w:eastAsia="楷体" w:cs="楷体"/>
          <w:b/>
          <w:bCs/>
          <w:kern w:val="0"/>
          <w:sz w:val="32"/>
          <w:szCs w:val="32"/>
          <w:lang w:val="en-US" w:eastAsia="zh-CN" w:bidi="ar"/>
        </w:rPr>
      </w:pPr>
      <w:bookmarkStart w:id="44" w:name="_Toc30931"/>
      <w:bookmarkStart w:id="45" w:name="_Toc14954"/>
      <w:bookmarkStart w:id="46" w:name="_Toc23297"/>
      <w:bookmarkStart w:id="47" w:name="_Toc7287"/>
      <w:bookmarkStart w:id="48" w:name="_Toc23642"/>
      <w:r>
        <w:rPr>
          <w:rFonts w:hint="eastAsia" w:ascii="楷体" w:hAnsi="楷体" w:eastAsia="楷体" w:cs="楷体"/>
          <w:b/>
          <w:bCs/>
          <w:kern w:val="0"/>
          <w:sz w:val="32"/>
          <w:szCs w:val="32"/>
          <w:lang w:val="en-US" w:eastAsia="zh-CN" w:bidi="ar"/>
        </w:rPr>
        <w:t>（二）项目调研与</w:t>
      </w:r>
      <w:bookmarkEnd w:id="44"/>
      <w:bookmarkEnd w:id="45"/>
      <w:bookmarkEnd w:id="46"/>
      <w:bookmarkEnd w:id="47"/>
      <w:bookmarkEnd w:id="48"/>
      <w:r>
        <w:rPr>
          <w:rFonts w:hint="eastAsia" w:ascii="楷体" w:hAnsi="楷体" w:eastAsia="楷体" w:cs="楷体"/>
          <w:b/>
          <w:bCs/>
          <w:kern w:val="0"/>
          <w:sz w:val="32"/>
          <w:szCs w:val="32"/>
          <w:lang w:val="en-US" w:eastAsia="zh-CN" w:bidi="ar"/>
        </w:rPr>
        <w:t>需求分析</w:t>
      </w:r>
    </w:p>
    <w:p w14:paraId="1B0655CF">
      <w:pPr>
        <w:rPr>
          <w:rFonts w:hint="default" w:eastAsia="仿宋_GB2312"/>
          <w:lang w:val="en-US" w:eastAsia="zh-CN"/>
        </w:rPr>
      </w:pPr>
      <w:r>
        <w:rPr>
          <w:rFonts w:hint="eastAsia" w:ascii="仿宋_GB2312" w:eastAsia="仿宋_GB2312"/>
          <w:lang w:val="en-US" w:eastAsia="zh-CN"/>
        </w:rPr>
        <w:t>前期工作过程中，标准起草组对现有“</w:t>
      </w:r>
      <w:r>
        <w:rPr>
          <w:rFonts w:hint="eastAsia"/>
          <w:lang w:val="en-US" w:eastAsia="zh-CN"/>
        </w:rPr>
        <w:t>流动科技馆</w:t>
      </w:r>
      <w:r>
        <w:rPr>
          <w:rFonts w:hint="eastAsia" w:ascii="仿宋_GB2312" w:eastAsia="仿宋_GB2312"/>
          <w:lang w:val="en-US" w:eastAsia="zh-CN"/>
        </w:rPr>
        <w:t>”的建设背景、过程</w:t>
      </w:r>
      <w:r>
        <w:rPr>
          <w:rFonts w:hint="eastAsia"/>
          <w:lang w:val="en-US" w:eastAsia="zh-CN"/>
        </w:rPr>
        <w:t>和运行、服务情况</w:t>
      </w:r>
      <w:r>
        <w:rPr>
          <w:rFonts w:hint="eastAsia" w:ascii="仿宋_GB2312" w:eastAsia="仿宋_GB2312"/>
          <w:lang w:val="en-US" w:eastAsia="zh-CN"/>
        </w:rPr>
        <w:t>等进行了深入</w:t>
      </w:r>
      <w:r>
        <w:rPr>
          <w:rFonts w:hint="eastAsia"/>
          <w:lang w:val="en-US" w:eastAsia="zh-CN"/>
        </w:rPr>
        <w:t>调研，并走访宁夏“流动科技馆”项目负责部门和平罗县流动科技馆</w:t>
      </w:r>
      <w:r>
        <w:rPr>
          <w:rFonts w:hint="eastAsia" w:ascii="仿宋_GB2312" w:eastAsia="仿宋_GB2312"/>
          <w:lang w:val="en-US" w:eastAsia="zh-CN"/>
        </w:rPr>
        <w:t>，全面梳理其相关运行</w:t>
      </w:r>
      <w:r>
        <w:rPr>
          <w:rFonts w:hint="eastAsia"/>
          <w:lang w:val="en-US" w:eastAsia="zh-CN"/>
        </w:rPr>
        <w:t>和服务</w:t>
      </w:r>
      <w:r>
        <w:rPr>
          <w:rFonts w:hint="eastAsia" w:ascii="仿宋_GB2312" w:eastAsia="仿宋_GB2312"/>
          <w:lang w:val="en-US" w:eastAsia="zh-CN"/>
        </w:rPr>
        <w:t>资料、制度文件，并同步收集相关法律法规、政策文件、标准等相关资料，包括法律法规</w:t>
      </w:r>
      <w:r>
        <w:rPr>
          <w:rFonts w:hint="eastAsia"/>
          <w:lang w:val="en-US" w:eastAsia="zh-CN"/>
        </w:rPr>
        <w:t>6</w:t>
      </w:r>
      <w:r>
        <w:rPr>
          <w:rFonts w:hint="eastAsia" w:ascii="仿宋_GB2312" w:eastAsia="仿宋_GB2312"/>
          <w:lang w:val="en-US" w:eastAsia="zh-CN"/>
        </w:rPr>
        <w:t>项、政策规章14项、国家标准</w:t>
      </w:r>
      <w:r>
        <w:rPr>
          <w:rFonts w:hint="eastAsia"/>
          <w:lang w:val="en-US" w:eastAsia="zh-CN"/>
        </w:rPr>
        <w:t>8</w:t>
      </w:r>
      <w:r>
        <w:rPr>
          <w:rFonts w:hint="eastAsia" w:ascii="仿宋_GB2312" w:eastAsia="仿宋_GB2312"/>
          <w:lang w:val="en-US" w:eastAsia="zh-CN"/>
        </w:rPr>
        <w:t>项、行业标准</w:t>
      </w:r>
      <w:r>
        <w:rPr>
          <w:rFonts w:hint="eastAsia"/>
          <w:lang w:val="en-US" w:eastAsia="zh-CN"/>
        </w:rPr>
        <w:t>3</w:t>
      </w:r>
      <w:r>
        <w:rPr>
          <w:rFonts w:hint="eastAsia" w:ascii="仿宋_GB2312" w:eastAsia="仿宋_GB2312"/>
          <w:lang w:val="en-US" w:eastAsia="zh-CN"/>
        </w:rPr>
        <w:t>项、地方标准</w:t>
      </w:r>
      <w:r>
        <w:rPr>
          <w:rFonts w:hint="eastAsia"/>
          <w:lang w:val="en-US" w:eastAsia="zh-CN"/>
        </w:rPr>
        <w:t>35</w:t>
      </w:r>
      <w:r>
        <w:rPr>
          <w:rFonts w:hint="eastAsia" w:ascii="仿宋_GB2312" w:eastAsia="仿宋_GB2312"/>
          <w:lang w:val="en-US" w:eastAsia="zh-CN"/>
        </w:rPr>
        <w:t>项、团体标准</w:t>
      </w:r>
      <w:r>
        <w:rPr>
          <w:rFonts w:hint="eastAsia"/>
          <w:lang w:val="en-US" w:eastAsia="zh-CN"/>
        </w:rPr>
        <w:t>3</w:t>
      </w:r>
      <w:r>
        <w:rPr>
          <w:rFonts w:hint="eastAsia" w:ascii="仿宋_GB2312" w:eastAsia="仿宋_GB2312"/>
          <w:lang w:val="en-US" w:eastAsia="zh-CN"/>
        </w:rPr>
        <w:t>项。</w:t>
      </w:r>
    </w:p>
    <w:p w14:paraId="7A489866">
      <w:pPr>
        <w:rPr>
          <w:rFonts w:hint="eastAsia"/>
          <w:lang w:val="en-US" w:eastAsia="zh-CN"/>
        </w:rPr>
      </w:pPr>
      <w:r>
        <w:rPr>
          <w:rFonts w:hint="eastAsia" w:ascii="仿宋_GB2312" w:eastAsia="仿宋_GB2312"/>
          <w:lang w:val="en-US" w:eastAsia="zh-CN"/>
        </w:rPr>
        <w:t>标准起草组通过对调研情况及相关资料进行系统</w:t>
      </w:r>
      <w:r>
        <w:rPr>
          <w:rFonts w:hint="eastAsia"/>
          <w:lang w:val="en-US" w:eastAsia="zh-CN"/>
        </w:rPr>
        <w:t>地</w:t>
      </w:r>
      <w:r>
        <w:rPr>
          <w:rFonts w:hint="eastAsia" w:ascii="仿宋_GB2312" w:eastAsia="仿宋_GB2312"/>
          <w:lang w:val="en-US" w:eastAsia="zh-CN"/>
        </w:rPr>
        <w:t>汇总分析，完成标准制定需求分析，根据流动科技馆</w:t>
      </w:r>
      <w:r>
        <w:rPr>
          <w:rFonts w:hint="eastAsia"/>
          <w:lang w:val="en-US" w:eastAsia="zh-CN"/>
        </w:rPr>
        <w:t>科普教育服务</w:t>
      </w:r>
      <w:r>
        <w:rPr>
          <w:rFonts w:hint="eastAsia" w:ascii="仿宋_GB2312" w:eastAsia="仿宋_GB2312"/>
          <w:lang w:val="en-US" w:eastAsia="zh-CN"/>
        </w:rPr>
        <w:t>需求，围绕标准需要解决的问题、呈现的特色亮点、标准的创新性等，搭建完成《流动科技馆科普教育服务规范》地方标准的框架结构</w:t>
      </w:r>
      <w:r>
        <w:rPr>
          <w:rFonts w:hint="eastAsia"/>
          <w:lang w:val="en-US" w:eastAsia="zh-CN"/>
        </w:rPr>
        <w:t>。</w:t>
      </w:r>
    </w:p>
    <w:p w14:paraId="122A04BC">
      <w:pPr>
        <w:widowControl w:val="0"/>
        <w:bidi w:val="0"/>
        <w:spacing w:before="0" w:beforeAutospacing="0" w:after="0" w:afterAutospacing="0" w:line="560" w:lineRule="exact"/>
        <w:ind w:firstLine="643" w:firstLineChars="200"/>
        <w:jc w:val="both"/>
        <w:outlineLvl w:val="1"/>
        <w:rPr>
          <w:rFonts w:hint="default" w:ascii="楷体" w:hAnsi="楷体" w:eastAsia="楷体" w:cs="楷体"/>
          <w:b/>
          <w:bCs/>
          <w:kern w:val="0"/>
          <w:sz w:val="32"/>
          <w:szCs w:val="32"/>
          <w:lang w:val="en-US" w:eastAsia="zh-CN" w:bidi="ar"/>
        </w:rPr>
      </w:pPr>
      <w:bookmarkStart w:id="49" w:name="_Toc3163"/>
      <w:bookmarkStart w:id="50" w:name="_Toc20355"/>
      <w:bookmarkStart w:id="51" w:name="_Toc281"/>
      <w:bookmarkStart w:id="52" w:name="_Toc9809"/>
      <w:bookmarkStart w:id="53" w:name="_Toc24181"/>
      <w:r>
        <w:rPr>
          <w:rFonts w:hint="eastAsia" w:ascii="楷体" w:hAnsi="楷体" w:eastAsia="楷体" w:cs="楷体"/>
          <w:b/>
          <w:bCs/>
          <w:kern w:val="0"/>
          <w:sz w:val="32"/>
          <w:szCs w:val="32"/>
          <w:lang w:val="en-US" w:eastAsia="zh-CN" w:bidi="ar"/>
        </w:rPr>
        <w:t>（四）标准编制</w:t>
      </w:r>
      <w:bookmarkEnd w:id="49"/>
      <w:bookmarkEnd w:id="50"/>
      <w:bookmarkEnd w:id="51"/>
      <w:bookmarkEnd w:id="52"/>
      <w:bookmarkEnd w:id="53"/>
      <w:r>
        <w:rPr>
          <w:rFonts w:hint="eastAsia" w:ascii="楷体" w:hAnsi="楷体" w:eastAsia="楷体" w:cs="楷体"/>
          <w:b/>
          <w:bCs/>
          <w:kern w:val="0"/>
          <w:sz w:val="32"/>
          <w:szCs w:val="32"/>
          <w:lang w:val="en-US" w:eastAsia="zh-CN" w:bidi="ar"/>
        </w:rPr>
        <w:t>与内部研讨</w:t>
      </w:r>
    </w:p>
    <w:p w14:paraId="049EB02C">
      <w:pPr>
        <w:rPr>
          <w:rFonts w:hint="default"/>
          <w:lang w:val="en-US" w:eastAsia="zh-CN"/>
        </w:rPr>
      </w:pPr>
      <w:r>
        <w:rPr>
          <w:rFonts w:hint="eastAsia"/>
        </w:rPr>
        <w:t>202</w:t>
      </w:r>
      <w:r>
        <w:rPr>
          <w:rFonts w:hint="default"/>
          <w:lang w:val="en-US"/>
        </w:rPr>
        <w:t>4</w:t>
      </w:r>
      <w:r>
        <w:rPr>
          <w:rFonts w:hint="eastAsia"/>
        </w:rPr>
        <w:t>年</w:t>
      </w:r>
      <w:r>
        <w:rPr>
          <w:rFonts w:hint="default"/>
          <w:lang w:val="en-US"/>
        </w:rPr>
        <w:t>8</w:t>
      </w:r>
      <w:r>
        <w:rPr>
          <w:rFonts w:hint="eastAsia"/>
        </w:rPr>
        <w:t>月～</w:t>
      </w:r>
      <w:r>
        <w:rPr>
          <w:rFonts w:hint="eastAsia" w:ascii="仿宋_GB2312" w:eastAsia="仿宋_GB2312"/>
          <w:lang w:val="en-US" w:eastAsia="zh-CN"/>
        </w:rPr>
        <w:t>2025年2月</w:t>
      </w:r>
      <w:r>
        <w:rPr>
          <w:rFonts w:hint="eastAsia"/>
        </w:rPr>
        <w:t>，标准起草组</w:t>
      </w:r>
      <w:r>
        <w:rPr>
          <w:rFonts w:hint="eastAsia"/>
          <w:lang w:val="en-US" w:eastAsia="zh-CN"/>
        </w:rPr>
        <w:t>根据</w:t>
      </w:r>
      <w:r>
        <w:rPr>
          <w:rFonts w:hint="eastAsia" w:ascii="仿宋_GB2312" w:eastAsia="仿宋_GB2312"/>
          <w:lang w:val="en-US" w:eastAsia="zh-CN"/>
        </w:rPr>
        <w:t>宁夏</w:t>
      </w:r>
      <w:r>
        <w:rPr>
          <w:rFonts w:hint="eastAsia"/>
          <w:lang w:val="en-US" w:eastAsia="zh-CN"/>
        </w:rPr>
        <w:t>“流动科技馆”项目运行和服务</w:t>
      </w:r>
      <w:r>
        <w:rPr>
          <w:rFonts w:hint="eastAsia" w:ascii="仿宋_GB2312" w:eastAsia="仿宋_GB2312"/>
          <w:lang w:val="en-US" w:eastAsia="zh-CN"/>
        </w:rPr>
        <w:t>情况</w:t>
      </w:r>
      <w:r>
        <w:rPr>
          <w:rFonts w:hint="eastAsia"/>
        </w:rPr>
        <w:t>，</w:t>
      </w:r>
      <w:r>
        <w:rPr>
          <w:rFonts w:hint="eastAsia" w:ascii="仿宋_GB2312" w:eastAsia="仿宋_GB2312"/>
          <w:lang w:val="en-US" w:eastAsia="zh-CN"/>
        </w:rPr>
        <w:t>结合相关法律法规、政策和各级标准，充分剖析流动科技馆</w:t>
      </w:r>
      <w:r>
        <w:rPr>
          <w:rFonts w:hint="eastAsia"/>
          <w:lang w:val="en-US" w:eastAsia="zh-CN"/>
        </w:rPr>
        <w:t>科普教育</w:t>
      </w:r>
      <w:r>
        <w:rPr>
          <w:rFonts w:hint="eastAsia" w:ascii="仿宋_GB2312" w:eastAsia="仿宋_GB2312"/>
          <w:lang w:val="en-US" w:eastAsia="zh-CN"/>
        </w:rPr>
        <w:t>服务资料、制度文件</w:t>
      </w:r>
      <w:r>
        <w:rPr>
          <w:rFonts w:hint="eastAsia" w:eastAsia="仿宋_GB2312"/>
          <w:lang w:eastAsia="zh-CN"/>
        </w:rPr>
        <w:t>，</w:t>
      </w:r>
      <w:r>
        <w:rPr>
          <w:rFonts w:hint="eastAsia"/>
        </w:rPr>
        <w:t>历时</w:t>
      </w:r>
      <w:r>
        <w:rPr>
          <w:rFonts w:hint="eastAsia" w:ascii="仿宋_GB2312" w:eastAsia="仿宋_GB2312"/>
          <w:lang w:val="en-US" w:eastAsia="zh-CN"/>
        </w:rPr>
        <w:t>7</w:t>
      </w:r>
      <w:r>
        <w:rPr>
          <w:rFonts w:hint="eastAsia"/>
        </w:rPr>
        <w:t>个月</w:t>
      </w:r>
      <w:r>
        <w:rPr>
          <w:rFonts w:hint="eastAsia" w:ascii="仿宋_GB2312" w:eastAsia="仿宋_GB2312"/>
          <w:lang w:val="en-US" w:eastAsia="zh-CN"/>
        </w:rPr>
        <w:t>起草完成标准工作组讨论稿</w:t>
      </w:r>
      <w:r>
        <w:rPr>
          <w:rFonts w:hint="eastAsia" w:eastAsia="仿宋_GB2312"/>
          <w:lang w:eastAsia="zh-CN"/>
        </w:rPr>
        <w:t>。</w:t>
      </w:r>
      <w:r>
        <w:rPr>
          <w:rFonts w:hint="eastAsia" w:ascii="仿宋_GB2312" w:eastAsia="仿宋_GB2312"/>
          <w:lang w:val="en-US" w:eastAsia="zh-CN"/>
        </w:rPr>
        <w:t>过程中，宁夏科技馆与高质标准化研究院共开展研讨会5次，标准工作组讨论稿经历6次修改调整后方形成征求意见稿，并完成标准的编制说明。</w:t>
      </w:r>
    </w:p>
    <w:p w14:paraId="36D144B3">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54" w:name="_Toc11607"/>
      <w:bookmarkStart w:id="55" w:name="_Toc6677"/>
      <w:bookmarkStart w:id="56" w:name="_Toc4011"/>
      <w:r>
        <w:rPr>
          <w:rFonts w:hint="eastAsia" w:ascii="黑体" w:hAnsi="黑体" w:eastAsia="黑体" w:cs="黑体"/>
          <w:kern w:val="2"/>
          <w:sz w:val="32"/>
          <w:szCs w:val="32"/>
          <w:lang w:val="en-US" w:eastAsia="zh-CN" w:bidi="ar-SA"/>
        </w:rPr>
        <w:t>四、编制原则和依据，与</w:t>
      </w:r>
      <w:r>
        <w:rPr>
          <w:rFonts w:ascii="黑体" w:hAnsi="黑体" w:eastAsia="黑体" w:cs="黑体"/>
          <w:kern w:val="2"/>
          <w:sz w:val="32"/>
          <w:szCs w:val="32"/>
          <w:lang w:val="en-US" w:eastAsia="zh-CN" w:bidi="ar-SA"/>
        </w:rPr>
        <w:t>现行法律</w:t>
      </w:r>
      <w:r>
        <w:rPr>
          <w:rFonts w:hint="eastAsia" w:ascii="黑体" w:hAnsi="黑体" w:eastAsia="黑体" w:cs="黑体"/>
          <w:kern w:val="2"/>
          <w:sz w:val="32"/>
          <w:szCs w:val="32"/>
          <w:lang w:val="en-US" w:eastAsia="zh-CN" w:bidi="ar-SA"/>
        </w:rPr>
        <w:t>、</w:t>
      </w:r>
      <w:r>
        <w:rPr>
          <w:rFonts w:ascii="黑体" w:hAnsi="黑体" w:eastAsia="黑体" w:cs="黑体"/>
          <w:kern w:val="2"/>
          <w:sz w:val="32"/>
          <w:szCs w:val="32"/>
          <w:lang w:val="en-US" w:eastAsia="zh-CN" w:bidi="ar-SA"/>
        </w:rPr>
        <w:t>法规</w:t>
      </w:r>
      <w:r>
        <w:rPr>
          <w:rFonts w:hint="eastAsia" w:ascii="黑体" w:hAnsi="黑体" w:eastAsia="黑体" w:cs="黑体"/>
          <w:kern w:val="2"/>
          <w:sz w:val="32"/>
          <w:szCs w:val="32"/>
          <w:lang w:val="en-US" w:eastAsia="zh-CN" w:bidi="ar-SA"/>
        </w:rPr>
        <w:t>、</w:t>
      </w:r>
      <w:r>
        <w:rPr>
          <w:rFonts w:ascii="黑体" w:hAnsi="黑体" w:eastAsia="黑体" w:cs="黑体"/>
          <w:kern w:val="2"/>
          <w:sz w:val="32"/>
          <w:szCs w:val="32"/>
          <w:lang w:val="en-US" w:eastAsia="zh-CN" w:bidi="ar-SA"/>
        </w:rPr>
        <w:t>标准的</w:t>
      </w:r>
      <w:r>
        <w:rPr>
          <w:rFonts w:hint="eastAsia" w:ascii="黑体" w:hAnsi="黑体" w:eastAsia="黑体" w:cs="黑体"/>
          <w:kern w:val="2"/>
          <w:sz w:val="32"/>
          <w:szCs w:val="32"/>
          <w:lang w:val="en-US" w:eastAsia="zh-CN" w:bidi="ar-SA"/>
        </w:rPr>
        <w:t>关系</w:t>
      </w:r>
      <w:bookmarkEnd w:id="54"/>
      <w:bookmarkEnd w:id="55"/>
      <w:bookmarkEnd w:id="56"/>
    </w:p>
    <w:p w14:paraId="5524FB23">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57" w:name="_Toc19952"/>
      <w:bookmarkStart w:id="58" w:name="_Toc32699"/>
      <w:bookmarkStart w:id="59" w:name="_Toc10874"/>
      <w:bookmarkStart w:id="60" w:name="_Toc22042"/>
      <w:bookmarkStart w:id="61" w:name="_Toc484"/>
      <w:r>
        <w:rPr>
          <w:rFonts w:hint="eastAsia" w:ascii="楷体" w:hAnsi="楷体" w:eastAsia="楷体" w:cs="楷体"/>
          <w:b/>
          <w:bCs/>
          <w:kern w:val="0"/>
          <w:sz w:val="32"/>
          <w:szCs w:val="32"/>
          <w:lang w:val="en-US" w:eastAsia="zh-CN" w:bidi="ar"/>
        </w:rPr>
        <w:t>（一）编制原则</w:t>
      </w:r>
      <w:bookmarkEnd w:id="57"/>
      <w:bookmarkEnd w:id="58"/>
      <w:bookmarkEnd w:id="59"/>
      <w:bookmarkEnd w:id="60"/>
      <w:bookmarkEnd w:id="61"/>
    </w:p>
    <w:p w14:paraId="63724F26">
      <w:pPr>
        <w:rPr>
          <w:rFonts w:hint="eastAsia"/>
          <w:lang w:val="en-US" w:eastAsia="zh-CN"/>
        </w:rPr>
      </w:pPr>
      <w:r>
        <w:rPr>
          <w:rFonts w:hint="eastAsia" w:ascii="仿宋_GB2312" w:eastAsia="仿宋_GB2312"/>
          <w:b/>
          <w:bCs/>
          <w:lang w:val="en-US" w:eastAsia="zh-CN"/>
        </w:rPr>
        <w:t>1</w:t>
      </w:r>
      <w:r>
        <w:rPr>
          <w:rFonts w:hint="default"/>
          <w:b/>
          <w:bCs/>
          <w:lang w:val="en-US" w:eastAsia="zh-CN"/>
        </w:rPr>
        <w:t>.</w:t>
      </w:r>
      <w:r>
        <w:rPr>
          <w:rFonts w:hint="eastAsia" w:ascii="仿宋_GB2312" w:eastAsia="仿宋_GB2312"/>
          <w:b/>
          <w:bCs/>
          <w:lang w:val="en-US" w:eastAsia="zh-CN"/>
        </w:rPr>
        <w:t>结合实际。</w:t>
      </w:r>
      <w:r>
        <w:rPr>
          <w:rFonts w:hint="eastAsia" w:ascii="仿宋_GB2312" w:eastAsia="仿宋_GB2312"/>
          <w:lang w:val="en-US" w:eastAsia="zh-CN"/>
        </w:rPr>
        <w:t>目前全国范围内尚没有流动科技馆科普教育服务的经验做法，相关标准</w:t>
      </w:r>
      <w:r>
        <w:rPr>
          <w:rFonts w:hint="eastAsia"/>
          <w:lang w:val="en-US" w:eastAsia="zh-CN"/>
        </w:rPr>
        <w:t>也以服务保障内容为主。</w:t>
      </w:r>
      <w:r>
        <w:rPr>
          <w:rFonts w:hint="eastAsia" w:ascii="仿宋_GB2312" w:eastAsia="仿宋_GB2312"/>
          <w:lang w:val="en-US" w:eastAsia="zh-CN"/>
        </w:rPr>
        <w:t>标准的编制完全以宁夏</w:t>
      </w:r>
      <w:r>
        <w:rPr>
          <w:rFonts w:hint="eastAsia"/>
          <w:lang w:val="en-US" w:eastAsia="zh-CN"/>
        </w:rPr>
        <w:t>“流动科技馆”项目的运行</w:t>
      </w:r>
      <w:r>
        <w:rPr>
          <w:rFonts w:hint="eastAsia" w:ascii="仿宋_GB2312" w:eastAsia="仿宋_GB2312"/>
          <w:lang w:val="en-US" w:eastAsia="zh-CN"/>
        </w:rPr>
        <w:t>经验和成果为主要内容，并在过程中广泛征求各方科普机构、科普组织的相关意见和建议，使标准真正能够适用、实用、应用。</w:t>
      </w:r>
    </w:p>
    <w:p w14:paraId="06273677">
      <w:pPr>
        <w:rPr>
          <w:rFonts w:hint="eastAsia"/>
          <w:lang w:val="en-US" w:eastAsia="zh-CN"/>
        </w:rPr>
      </w:pPr>
      <w:r>
        <w:rPr>
          <w:rFonts w:hint="eastAsia" w:ascii="仿宋_GB2312" w:eastAsia="仿宋_GB2312"/>
          <w:b/>
          <w:bCs/>
          <w:lang w:val="en-US" w:eastAsia="zh-CN"/>
        </w:rPr>
        <w:t>2.全面系统。</w:t>
      </w:r>
      <w:r>
        <w:rPr>
          <w:rFonts w:hint="eastAsia" w:ascii="仿宋_GB2312" w:eastAsia="仿宋_GB2312"/>
          <w:lang w:val="en-US" w:eastAsia="zh-CN"/>
        </w:rPr>
        <w:t>标准以实践经验为总体指导，全面梳理宁夏“流动科技馆”项目的先进做法和优秀模式，系统构建</w:t>
      </w:r>
      <w:r>
        <w:rPr>
          <w:rFonts w:hint="eastAsia"/>
          <w:lang w:val="en-US" w:eastAsia="zh-CN"/>
        </w:rPr>
        <w:t>包含服务原则、服务项目、服务内容、服务保障、服务评价等在内的流动科技馆科普教育服务体系，在提升流动科技馆服务质量和效果的同时，助推宁夏现代科技馆体系的公益性、普及性、科学性、创新性发展</w:t>
      </w:r>
      <w:r>
        <w:rPr>
          <w:rFonts w:hint="eastAsia" w:ascii="仿宋_GB2312" w:eastAsia="仿宋_GB2312"/>
          <w:lang w:val="en-US" w:eastAsia="zh-CN"/>
        </w:rPr>
        <w:t>。</w:t>
      </w:r>
    </w:p>
    <w:p w14:paraId="24AF84B8">
      <w:pPr>
        <w:rPr>
          <w:rFonts w:hint="default" w:ascii="仿宋_GB2312" w:eastAsia="仿宋_GB2312"/>
          <w:lang w:val="en-US" w:eastAsia="zh-CN"/>
        </w:rPr>
      </w:pPr>
      <w:r>
        <w:rPr>
          <w:rFonts w:hint="eastAsia" w:ascii="仿宋_GB2312" w:eastAsia="仿宋_GB2312"/>
          <w:b/>
          <w:bCs/>
          <w:lang w:val="en-US" w:eastAsia="zh-CN"/>
        </w:rPr>
        <w:t>3.引领发展。</w:t>
      </w:r>
      <w:r>
        <w:rPr>
          <w:rFonts w:hint="eastAsia" w:ascii="仿宋_GB2312" w:eastAsia="仿宋_GB2312"/>
          <w:lang w:val="en-US" w:eastAsia="zh-CN"/>
        </w:rPr>
        <w:t>标准编制以</w:t>
      </w:r>
      <w:r>
        <w:rPr>
          <w:rFonts w:hint="eastAsia"/>
          <w:lang w:val="en-US" w:eastAsia="zh-CN"/>
        </w:rPr>
        <w:t>专业性、内容性、全面性为核心，着重针对流动科技馆提供科普教育服务的服务项目、服务内容和服务方式进行内容呈现，以更加具体和有针对性的服务策略提升项目的服务质量和服务资料利用效率，在惠及更多社会公众，呈现更大公益效益的同时，为全国科普教育服务提供方向指导。</w:t>
      </w:r>
    </w:p>
    <w:p w14:paraId="5EAB150F">
      <w:pPr>
        <w:rPr>
          <w:rFonts w:hint="eastAsia"/>
          <w:lang w:val="en-US" w:eastAsia="zh-CN"/>
        </w:rPr>
      </w:pPr>
      <w:r>
        <w:rPr>
          <w:rFonts w:hint="eastAsia" w:ascii="仿宋_GB2312" w:eastAsia="仿宋_GB2312"/>
          <w:b/>
          <w:bCs/>
          <w:lang w:val="en-US" w:eastAsia="zh-CN"/>
        </w:rPr>
        <w:t>4.规范协调。</w:t>
      </w:r>
      <w:r>
        <w:rPr>
          <w:rFonts w:hint="eastAsia" w:ascii="仿宋_GB2312" w:eastAsia="仿宋_GB2312"/>
          <w:lang w:val="en-US" w:eastAsia="zh-CN"/>
        </w:rPr>
        <w:t>标准严格按照 GB/T 1.1-2020《标准化工作导则 第1部分：标准化文件的结构和起草规则》的规定起草，符合标准编写要求；同时在国家有关法律法规、管理条例及自治区、上级主管部门政策规章、发展规划的指导下进行制定，符合相关要求，并与之协调。</w:t>
      </w:r>
    </w:p>
    <w:p w14:paraId="5D917BC1">
      <w:pPr>
        <w:pStyle w:val="4"/>
        <w:bidi w:val="0"/>
        <w:rPr>
          <w:rFonts w:hint="default"/>
          <w:lang w:val="en-US" w:eastAsia="zh-CN"/>
        </w:rPr>
      </w:pPr>
      <w:bookmarkStart w:id="62" w:name="_Toc24645"/>
      <w:bookmarkStart w:id="63" w:name="_Toc15566"/>
      <w:bookmarkStart w:id="64" w:name="_Toc27939"/>
      <w:bookmarkStart w:id="65" w:name="_Toc6645"/>
      <w:bookmarkStart w:id="66" w:name="_Toc111"/>
      <w:r>
        <w:rPr>
          <w:rFonts w:hint="default"/>
          <w:lang w:val="en-US" w:eastAsia="zh-CN"/>
        </w:rPr>
        <w:t>（二）编制依据</w:t>
      </w:r>
      <w:bookmarkEnd w:id="62"/>
      <w:bookmarkEnd w:id="63"/>
      <w:bookmarkEnd w:id="64"/>
      <w:bookmarkEnd w:id="65"/>
      <w:bookmarkEnd w:id="66"/>
    </w:p>
    <w:p w14:paraId="0DEBD5B0">
      <w:pPr>
        <w:rPr>
          <w:rFonts w:hint="eastAsia"/>
          <w:lang w:val="en-US" w:eastAsia="zh-CN"/>
        </w:rPr>
      </w:pPr>
      <w:r>
        <w:rPr>
          <w:rFonts w:hint="eastAsia"/>
          <w:lang w:val="en-US" w:eastAsia="zh-CN"/>
        </w:rPr>
        <w:t>1.GB/T 1.1—2020《标准化工作导则 第1部分：标准化文件的结构和起草规则》</w:t>
      </w:r>
    </w:p>
    <w:p w14:paraId="0BA6EA60">
      <w:pPr>
        <w:rPr>
          <w:rFonts w:hint="eastAsia"/>
          <w:lang w:val="en-US" w:eastAsia="zh-CN"/>
        </w:rPr>
      </w:pPr>
      <w:r>
        <w:rPr>
          <w:rFonts w:hint="eastAsia"/>
          <w:lang w:val="en-US" w:eastAsia="zh-CN"/>
        </w:rPr>
        <w:t>2.GB/T 41131—2021 科技馆展览教育服务规范</w:t>
      </w:r>
    </w:p>
    <w:p w14:paraId="518094B7">
      <w:r>
        <w:rPr>
          <w:rFonts w:hint="eastAsia"/>
          <w:lang w:val="en-US" w:eastAsia="zh-CN"/>
        </w:rPr>
        <w:t>3.</w:t>
      </w:r>
      <w:r>
        <w:rPr>
          <w:rFonts w:hint="eastAsia"/>
        </w:rPr>
        <w:t>中华人民共和国公共文化服务保障法（中华人民共和国主席令第60号）</w:t>
      </w:r>
    </w:p>
    <w:p w14:paraId="53DB5052">
      <w:pPr>
        <w:rPr>
          <w:rFonts w:hint="eastAsia"/>
        </w:rPr>
      </w:pPr>
      <w:r>
        <w:rPr>
          <w:rFonts w:hint="eastAsia"/>
          <w:lang w:val="en-US" w:eastAsia="zh-CN"/>
        </w:rPr>
        <w:t>4.</w:t>
      </w:r>
      <w:r>
        <w:rPr>
          <w:rFonts w:hint="eastAsia"/>
        </w:rPr>
        <w:t>中华人民共和国科学技术普及法（中华人民共和国主席令第71号）</w:t>
      </w:r>
    </w:p>
    <w:p w14:paraId="5B0D4395">
      <w:pPr>
        <w:rPr>
          <w:rFonts w:hint="eastAsia"/>
        </w:rPr>
      </w:pPr>
      <w:r>
        <w:rPr>
          <w:rFonts w:hint="eastAsia"/>
          <w:lang w:val="en-US" w:eastAsia="zh-CN"/>
        </w:rPr>
        <w:t>5.地方标准管理办法（国家市场监督管理总局令第26号）</w:t>
      </w:r>
    </w:p>
    <w:p w14:paraId="66030C40">
      <w:r>
        <w:rPr>
          <w:rFonts w:hint="eastAsia"/>
          <w:lang w:val="en-US" w:eastAsia="zh-CN"/>
        </w:rPr>
        <w:t>6.</w:t>
      </w:r>
      <w:r>
        <w:rPr>
          <w:rFonts w:hint="eastAsia"/>
        </w:rPr>
        <w:t>中共中央办公厅 国务院办公厅印发《关于进一步减轻义务教育阶段学生作业负担和校外培训负担的意见》</w:t>
      </w:r>
    </w:p>
    <w:p w14:paraId="4998BB7E">
      <w:r>
        <w:rPr>
          <w:rFonts w:hint="eastAsia"/>
          <w:lang w:val="en-US" w:eastAsia="zh-CN"/>
        </w:rPr>
        <w:t>7.</w:t>
      </w:r>
      <w:r>
        <w:rPr>
          <w:rFonts w:hint="eastAsia"/>
        </w:rPr>
        <w:t>中共中央办公厅 国务院办公厅印发《关于新时代进一步加强科学技术普及工作的意见》</w:t>
      </w:r>
    </w:p>
    <w:p w14:paraId="0D7AE4D7">
      <w:r>
        <w:rPr>
          <w:rFonts w:hint="eastAsia"/>
          <w:lang w:val="en-US" w:eastAsia="zh-CN"/>
        </w:rPr>
        <w:t>8.</w:t>
      </w:r>
      <w:r>
        <w:rPr>
          <w:rFonts w:hint="eastAsia"/>
        </w:rPr>
        <w:t>国务院关于印发全民科学素质行动规划纲要（2021—2035年）的通知（国发〔2021〕9号）</w:t>
      </w:r>
    </w:p>
    <w:p w14:paraId="07F0F97B">
      <w:r>
        <w:rPr>
          <w:rFonts w:hint="eastAsia"/>
          <w:lang w:val="en-US" w:eastAsia="zh-CN"/>
        </w:rPr>
        <w:t>9.</w:t>
      </w:r>
      <w:r>
        <w:rPr>
          <w:rFonts w:hint="eastAsia"/>
        </w:rPr>
        <w:t>教育部关于印发《中小学综合实践活动课程指导纲要》的通知（教材〔2017〕4号）</w:t>
      </w:r>
    </w:p>
    <w:p w14:paraId="201C8261">
      <w:r>
        <w:rPr>
          <w:rFonts w:hint="eastAsia"/>
          <w:lang w:val="en-US" w:eastAsia="zh-CN"/>
        </w:rPr>
        <w:t>10.</w:t>
      </w:r>
      <w:r>
        <w:rPr>
          <w:rFonts w:hint="eastAsia"/>
        </w:rPr>
        <w:t>中国科协关于印发《中国科协科普发展规划（2021—2025年）》的通知（科协发普字〔2021〕52号）</w:t>
      </w:r>
    </w:p>
    <w:p w14:paraId="603D18A0">
      <w:r>
        <w:rPr>
          <w:rFonts w:hint="eastAsia"/>
          <w:lang w:val="en-US" w:eastAsia="zh-CN"/>
        </w:rPr>
        <w:t>11.</w:t>
      </w:r>
      <w:r>
        <w:rPr>
          <w:rFonts w:hint="eastAsia"/>
        </w:rPr>
        <w:t>科技部 中央宣传部 中国科协关于印发《“十四五”国家科学技术普及发展规划》的通知（国科发才〔2022〕212号）</w:t>
      </w:r>
    </w:p>
    <w:p w14:paraId="0FB3D04C">
      <w:r>
        <w:rPr>
          <w:rFonts w:hint="eastAsia"/>
          <w:lang w:val="en-US" w:eastAsia="zh-CN"/>
        </w:rPr>
        <w:t>12.</w:t>
      </w:r>
      <w:r>
        <w:rPr>
          <w:rFonts w:hint="eastAsia"/>
        </w:rPr>
        <w:t>教育部等十八部门关于加强新时代中小学科学教育工作的意见（教监管〔2023〕2号）</w:t>
      </w:r>
    </w:p>
    <w:p w14:paraId="2A7E7694">
      <w:pPr>
        <w:rPr>
          <w:rFonts w:hint="eastAsia"/>
        </w:rPr>
      </w:pPr>
      <w:r>
        <w:rPr>
          <w:rFonts w:hint="eastAsia"/>
          <w:lang w:val="en-US" w:eastAsia="zh-CN"/>
        </w:rPr>
        <w:t>13.</w:t>
      </w:r>
      <w:r>
        <w:rPr>
          <w:rFonts w:hint="eastAsia"/>
        </w:rPr>
        <w:t>中国科协关于印发《现代科技馆体系发展“十四五”规划（2021—2025年）》的通知（科协发普字〔2021〕56号）</w:t>
      </w:r>
    </w:p>
    <w:p w14:paraId="17DA0980">
      <w:pPr>
        <w:rPr>
          <w:rFonts w:hint="eastAsia" w:eastAsia="仿宋_GB2312"/>
          <w:lang w:eastAsia="zh-CN"/>
        </w:rPr>
      </w:pPr>
      <w:r>
        <w:rPr>
          <w:rFonts w:hint="eastAsia"/>
          <w:lang w:val="en-US" w:eastAsia="zh-CN"/>
        </w:rPr>
        <w:t>14.</w:t>
      </w:r>
      <w:r>
        <w:rPr>
          <w:rFonts w:hint="eastAsia"/>
        </w:rPr>
        <w:t>中国科协办公厅关于印发《中国流动科技馆项目管理办法》《中国流动科技馆项目资产管理办法》《中国流动科技馆项目考核管理暂行办法》的通知</w:t>
      </w:r>
      <w:r>
        <w:rPr>
          <w:rFonts w:hint="eastAsia"/>
          <w:lang w:eastAsia="zh-CN"/>
        </w:rPr>
        <w:t>（科协办函普字〔2022〕127号）</w:t>
      </w:r>
    </w:p>
    <w:p w14:paraId="1B4ED94F">
      <w:r>
        <w:rPr>
          <w:rFonts w:hint="eastAsia"/>
          <w:lang w:val="en-US" w:eastAsia="zh-CN"/>
        </w:rPr>
        <w:t>15.</w:t>
      </w:r>
      <w:r>
        <w:rPr>
          <w:rFonts w:hint="eastAsia"/>
        </w:rPr>
        <w:t>自治区党委办公厅 人民政府办公厅印发《关于推进全域科普工作的实施意见》的通知（宁党办〔2021〕63号）</w:t>
      </w:r>
    </w:p>
    <w:p w14:paraId="6D1C463E">
      <w:r>
        <w:rPr>
          <w:rFonts w:hint="eastAsia"/>
          <w:lang w:val="en-US" w:eastAsia="zh-CN"/>
        </w:rPr>
        <w:t>16.</w:t>
      </w:r>
      <w:r>
        <w:rPr>
          <w:rFonts w:hint="eastAsia"/>
        </w:rPr>
        <w:t>自治区人民政府办公厅关于印发宁夏回族自治区全民科学素质行动规划纲要实施方案(2021年—2025年)的通知（宁政办发〔2021〕66号）</w:t>
      </w:r>
    </w:p>
    <w:p w14:paraId="1241CE0A">
      <w:r>
        <w:rPr>
          <w:rFonts w:hint="eastAsia"/>
          <w:lang w:val="en-US" w:eastAsia="zh-CN"/>
        </w:rPr>
        <w:t>17.</w:t>
      </w:r>
      <w:r>
        <w:rPr>
          <w:rFonts w:hint="eastAsia"/>
        </w:rPr>
        <w:t>自治区教育厅 自治区科协《关于利用科普资源助推“双减”工作的通知》（宁教基〔2022〕4号）</w:t>
      </w:r>
    </w:p>
    <w:p w14:paraId="4FB9AAF9">
      <w:r>
        <w:rPr>
          <w:rFonts w:hint="eastAsia"/>
          <w:lang w:val="en-US" w:eastAsia="zh-CN"/>
        </w:rPr>
        <w:t>18.</w:t>
      </w:r>
      <w:r>
        <w:rPr>
          <w:rFonts w:hint="eastAsia"/>
        </w:rPr>
        <w:t>自治区教育厅等十六部门印发《关于加强新时代中小学科学教育工作的指导意见》的通知（宁教监管 〔2023〕185号）</w:t>
      </w:r>
    </w:p>
    <w:p w14:paraId="44CE2EC6">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67" w:name="_Toc11513"/>
      <w:bookmarkStart w:id="68" w:name="_Toc22095"/>
      <w:bookmarkStart w:id="69" w:name="_Toc23983"/>
      <w:bookmarkStart w:id="70" w:name="_Toc16019"/>
      <w:bookmarkStart w:id="71" w:name="_Toc18446"/>
      <w:r>
        <w:rPr>
          <w:rFonts w:hint="eastAsia" w:ascii="楷体" w:hAnsi="楷体" w:eastAsia="楷体" w:cs="楷体"/>
          <w:b/>
          <w:bCs/>
          <w:kern w:val="0"/>
          <w:sz w:val="32"/>
          <w:szCs w:val="32"/>
          <w:lang w:val="en-US" w:eastAsia="zh-CN" w:bidi="ar"/>
        </w:rPr>
        <w:t>（三）与现行法律法规、标准的关系</w:t>
      </w:r>
      <w:bookmarkEnd w:id="67"/>
      <w:bookmarkEnd w:id="68"/>
      <w:bookmarkEnd w:id="69"/>
      <w:bookmarkEnd w:id="70"/>
      <w:bookmarkEnd w:id="71"/>
    </w:p>
    <w:p w14:paraId="01790EFE">
      <w:pPr>
        <w:rPr>
          <w:rFonts w:hint="default"/>
          <w:lang w:val="en-US" w:eastAsia="zh-CN"/>
        </w:rPr>
      </w:pPr>
      <w:r>
        <w:rPr>
          <w:rFonts w:hint="eastAsia" w:ascii="仿宋_GB2312" w:eastAsia="仿宋_GB2312"/>
          <w:lang w:val="en-US" w:eastAsia="zh-CN"/>
        </w:rPr>
        <w:t>本标准在研究《中华人民共和国公共文化服务保障法》《中华人民共和国科学技术普及法》《中国科协关于印发&lt;中国科协科普发展规划（2021—2025年）&gt;的通知》《教育部等十八部门关于加强新时代中小学科学教育工作的意见》以及《自治区党委办公厅 人民政府办公厅印发&lt;关于推进全域科普工作的实施意见》&gt;》《自治区教育厅 自治区科协&lt;关于利用科普资源助推“双减”工作的通知&gt;》等法律法规和政策文件的基础上进行编制，是对相关法律法规和政策文件相关要求的进一步细化，是对相关指导方向的进一步落实。</w:t>
      </w:r>
    </w:p>
    <w:p w14:paraId="4BDE6B3D">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72" w:name="_Toc25440"/>
      <w:bookmarkStart w:id="73" w:name="_Toc3719"/>
      <w:bookmarkStart w:id="74" w:name="_Toc25032"/>
      <w:r>
        <w:rPr>
          <w:rFonts w:hint="eastAsia" w:ascii="黑体" w:hAnsi="黑体" w:eastAsia="黑体" w:cs="黑体"/>
          <w:kern w:val="2"/>
          <w:sz w:val="32"/>
          <w:szCs w:val="32"/>
          <w:lang w:val="en-US" w:eastAsia="zh-CN" w:bidi="ar-SA"/>
        </w:rPr>
        <w:t>五、</w:t>
      </w:r>
      <w:r>
        <w:rPr>
          <w:rFonts w:ascii="黑体" w:hAnsi="黑体" w:eastAsia="黑体" w:cs="黑体"/>
          <w:kern w:val="2"/>
          <w:sz w:val="32"/>
          <w:szCs w:val="32"/>
          <w:lang w:val="en-US" w:eastAsia="zh-CN" w:bidi="ar-SA"/>
        </w:rPr>
        <w:t>主要条款说明</w:t>
      </w:r>
      <w:r>
        <w:rPr>
          <w:rFonts w:hint="eastAsia" w:ascii="黑体" w:hAnsi="黑体" w:eastAsia="黑体" w:cs="黑体"/>
          <w:kern w:val="2"/>
          <w:sz w:val="32"/>
          <w:szCs w:val="32"/>
          <w:lang w:val="en-US" w:eastAsia="zh-CN" w:bidi="ar-SA"/>
        </w:rPr>
        <w:t>，主要</w:t>
      </w:r>
      <w:r>
        <w:rPr>
          <w:rFonts w:ascii="黑体" w:hAnsi="黑体" w:eastAsia="黑体" w:cs="黑体"/>
          <w:kern w:val="2"/>
          <w:sz w:val="32"/>
          <w:szCs w:val="32"/>
          <w:lang w:val="en-US" w:eastAsia="zh-CN" w:bidi="ar-SA"/>
        </w:rPr>
        <w:t>技术指标、参数、实验验证的</w:t>
      </w:r>
      <w:r>
        <w:rPr>
          <w:rFonts w:hint="eastAsia" w:ascii="黑体" w:hAnsi="黑体" w:eastAsia="黑体" w:cs="黑体"/>
          <w:kern w:val="2"/>
          <w:sz w:val="32"/>
          <w:szCs w:val="32"/>
          <w:lang w:val="en-US" w:eastAsia="zh-CN" w:bidi="ar-SA"/>
        </w:rPr>
        <w:t>论述</w:t>
      </w:r>
      <w:bookmarkEnd w:id="72"/>
      <w:bookmarkEnd w:id="73"/>
      <w:bookmarkEnd w:id="74"/>
    </w:p>
    <w:p w14:paraId="4547C926">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75" w:name="_Toc9070"/>
      <w:bookmarkStart w:id="76" w:name="_Toc19599"/>
      <w:bookmarkStart w:id="77" w:name="_Toc13701"/>
      <w:bookmarkStart w:id="78" w:name="_Toc2323"/>
      <w:bookmarkStart w:id="79" w:name="_Toc25373"/>
      <w:r>
        <w:rPr>
          <w:rFonts w:hint="eastAsia" w:ascii="楷体" w:hAnsi="楷体" w:eastAsia="楷体" w:cs="楷体"/>
          <w:b/>
          <w:bCs/>
          <w:kern w:val="0"/>
          <w:sz w:val="32"/>
          <w:szCs w:val="32"/>
          <w:lang w:val="en-US" w:eastAsia="zh-CN" w:bidi="ar"/>
        </w:rPr>
        <w:t>（一）主要条款说明</w:t>
      </w:r>
      <w:bookmarkEnd w:id="75"/>
      <w:bookmarkEnd w:id="76"/>
      <w:bookmarkEnd w:id="77"/>
      <w:bookmarkEnd w:id="78"/>
      <w:bookmarkEnd w:id="79"/>
    </w:p>
    <w:p w14:paraId="5C8043F5">
      <w:pPr>
        <w:rPr>
          <w:rFonts w:hint="eastAsia"/>
          <w:lang w:val="en-US" w:eastAsia="zh-CN"/>
        </w:rPr>
      </w:pPr>
      <w:r>
        <w:rPr>
          <w:rFonts w:hint="eastAsia"/>
          <w:lang w:val="en-US" w:eastAsia="zh-CN"/>
        </w:rPr>
        <w:t>本标准共有12章内容，包括范围、规范性引用文件、术语和定义、总体原则、基本要求、科普服务人员、展览科普服务、科普教育服务、线上科普服务、宣传推广、服务保障、评价改进，</w:t>
      </w:r>
      <w:r>
        <w:rPr>
          <w:rFonts w:hint="eastAsia"/>
          <w:b w:val="0"/>
          <w:bCs w:val="0"/>
          <w:lang w:val="en-US" w:eastAsia="zh-CN"/>
        </w:rPr>
        <w:t>系统构建了以展览科普服务、科普教育服务、线上科普服务3大版块为核心的流动科技馆科普教育服务体系。</w:t>
      </w:r>
    </w:p>
    <w:p w14:paraId="147DF752">
      <w:pPr>
        <w:rPr>
          <w:rFonts w:hint="default"/>
          <w:lang w:val="en-US" w:eastAsia="zh-CN"/>
        </w:rPr>
      </w:pPr>
      <w:r>
        <w:rPr>
          <w:rFonts w:hint="eastAsia"/>
          <w:b/>
          <w:bCs/>
          <w:lang w:val="en-US" w:eastAsia="zh-CN"/>
        </w:rPr>
        <w:t>1.总体原则。</w:t>
      </w:r>
      <w:r>
        <w:rPr>
          <w:rFonts w:hint="eastAsia"/>
          <w:lang w:val="en-US" w:eastAsia="zh-CN"/>
        </w:rPr>
        <w:t>本章确立了流动科技馆在提供科普教育服务方面的总体原则和服务宗旨，是《中华人民共和国科学技术普及法》总则在流动科技馆科普教育服务方面的具体体现和补充。</w:t>
      </w:r>
    </w:p>
    <w:p w14:paraId="6698C5CB">
      <w:pPr>
        <w:rPr>
          <w:rFonts w:hint="default"/>
          <w:lang w:val="en-US" w:eastAsia="zh-CN"/>
        </w:rPr>
      </w:pPr>
      <w:r>
        <w:rPr>
          <w:rFonts w:hint="eastAsia"/>
          <w:b/>
          <w:bCs/>
          <w:lang w:val="en-US" w:eastAsia="zh-CN"/>
        </w:rPr>
        <w:t>2.基本要求。</w:t>
      </w:r>
      <w:r>
        <w:rPr>
          <w:rFonts w:hint="eastAsia"/>
          <w:lang w:val="en-US" w:eastAsia="zh-CN"/>
        </w:rPr>
        <w:t>本章规定了流动科技馆提供科普教育服务应具备的导览指示、场馆开放、宣传提示、应急疏导等的相关要求。</w:t>
      </w:r>
    </w:p>
    <w:p w14:paraId="527BA7F2">
      <w:pPr>
        <w:rPr>
          <w:rFonts w:hint="default"/>
          <w:lang w:val="en-US" w:eastAsia="zh-CN"/>
        </w:rPr>
      </w:pPr>
      <w:r>
        <w:rPr>
          <w:rFonts w:hint="eastAsia"/>
          <w:b/>
          <w:bCs/>
          <w:lang w:val="en-US" w:eastAsia="zh-CN"/>
        </w:rPr>
        <w:t>3.科普服务人员。</w:t>
      </w:r>
      <w:r>
        <w:rPr>
          <w:rFonts w:hint="eastAsia"/>
          <w:lang w:val="en-US" w:eastAsia="zh-CN"/>
        </w:rPr>
        <w:t>本章规定了流动科技馆提供科普教育服务的服务人员及志愿者在人员配置、服务能力、素养形象、岗前培训等方面的要求。</w:t>
      </w:r>
    </w:p>
    <w:p w14:paraId="4DAB8FEA">
      <w:pPr>
        <w:rPr>
          <w:rFonts w:hint="default"/>
          <w:lang w:val="en-US" w:eastAsia="zh-CN"/>
        </w:rPr>
      </w:pPr>
      <w:r>
        <w:rPr>
          <w:rFonts w:hint="eastAsia"/>
          <w:b/>
          <w:bCs/>
          <w:lang w:val="en-US" w:eastAsia="zh-CN"/>
        </w:rPr>
        <w:t>4.展览科普服务。</w:t>
      </w:r>
      <w:r>
        <w:rPr>
          <w:rFonts w:hint="eastAsia"/>
          <w:lang w:val="en-US" w:eastAsia="zh-CN"/>
        </w:rPr>
        <w:t>本章规定了流动科技馆在提供的展览类科普教育服务应符合的要求，包括导览服务、说明服务、自助式讲解服务、科普资料服务、咨询服务和安全应急服务。</w:t>
      </w:r>
    </w:p>
    <w:p w14:paraId="58FDFD17">
      <w:pPr>
        <w:rPr>
          <w:rFonts w:hint="eastAsia"/>
          <w:lang w:val="en-US" w:eastAsia="zh-CN"/>
        </w:rPr>
      </w:pPr>
      <w:r>
        <w:rPr>
          <w:rFonts w:hint="eastAsia"/>
          <w:b/>
          <w:bCs/>
          <w:lang w:val="en-US" w:eastAsia="zh-CN"/>
        </w:rPr>
        <w:t>5.科普教育服务。</w:t>
      </w:r>
      <w:r>
        <w:rPr>
          <w:rFonts w:hint="eastAsia"/>
          <w:lang w:val="en-US" w:eastAsia="zh-CN"/>
        </w:rPr>
        <w:t>本章为标准的核心技术要素，规定了流动科技馆提供的科普教育服务的内容、形式及相关要求。其中：</w:t>
      </w:r>
    </w:p>
    <w:p w14:paraId="16210E8E">
      <w:pPr>
        <w:rPr>
          <w:rFonts w:hint="eastAsia"/>
          <w:lang w:val="en-US" w:eastAsia="zh-CN"/>
        </w:rPr>
      </w:pPr>
      <w:r>
        <w:rPr>
          <w:rFonts w:hint="eastAsia"/>
          <w:lang w:val="en-US" w:eastAsia="zh-CN"/>
        </w:rPr>
        <w:t>“基本要求”规定了针对不同服务对象的服务内容和形式，以及开展科普教育服务的方式方法要求；</w:t>
      </w:r>
    </w:p>
    <w:p w14:paraId="5271EBC4">
      <w:pPr>
        <w:rPr>
          <w:rFonts w:hint="default"/>
          <w:lang w:val="en-US" w:eastAsia="zh-CN"/>
        </w:rPr>
      </w:pPr>
      <w:r>
        <w:rPr>
          <w:rFonts w:hint="eastAsia"/>
          <w:lang w:val="en-US" w:eastAsia="zh-CN"/>
        </w:rPr>
        <w:t>“科普讲解”规定了讲解流程，以及开场讲解、展品讲解和讲解总结3个关键环节的讲解内容和讲解方法要求。</w:t>
      </w:r>
    </w:p>
    <w:p w14:paraId="75C5ECD5">
      <w:pPr>
        <w:rPr>
          <w:rFonts w:hint="default"/>
          <w:lang w:val="en-US" w:eastAsia="zh-CN"/>
        </w:rPr>
      </w:pPr>
      <w:r>
        <w:rPr>
          <w:rFonts w:hint="eastAsia"/>
          <w:lang w:val="en-US" w:eastAsia="zh-CN"/>
        </w:rPr>
        <w:t>“科学实验”“科学表演”“互动体验”规定了开展相应科普教育活动的形式、内容、方法等要求；</w:t>
      </w:r>
    </w:p>
    <w:p w14:paraId="784A2758">
      <w:pPr>
        <w:rPr>
          <w:rFonts w:hint="default"/>
          <w:lang w:val="en-US" w:eastAsia="zh-CN"/>
        </w:rPr>
      </w:pPr>
      <w:r>
        <w:rPr>
          <w:rFonts w:hint="eastAsia"/>
          <w:b/>
          <w:bCs/>
          <w:lang w:val="en-US" w:eastAsia="zh-CN"/>
        </w:rPr>
        <w:t>6.线上科普服务。</w:t>
      </w:r>
      <w:r>
        <w:rPr>
          <w:rFonts w:hint="eastAsia"/>
          <w:lang w:val="en-US" w:eastAsia="zh-CN"/>
        </w:rPr>
        <w:t>本章规定了流动科技馆应在线上渠道为公众提供的服务项目、服务形式、服务内容及其相关内容要求。</w:t>
      </w:r>
    </w:p>
    <w:p w14:paraId="359A6D56">
      <w:pPr>
        <w:rPr>
          <w:rFonts w:hint="eastAsia"/>
          <w:lang w:val="en-US" w:eastAsia="zh-CN"/>
        </w:rPr>
      </w:pPr>
      <w:r>
        <w:rPr>
          <w:rFonts w:hint="eastAsia"/>
          <w:b/>
          <w:bCs/>
          <w:lang w:val="en-US" w:eastAsia="zh-CN"/>
        </w:rPr>
        <w:t>7.宣传推广。</w:t>
      </w:r>
      <w:r>
        <w:rPr>
          <w:rFonts w:hint="eastAsia"/>
          <w:lang w:val="en-US" w:eastAsia="zh-CN"/>
        </w:rPr>
        <w:t>本章规定了流动科技馆在宣传推广方面的要求，包括线上、线下宣传渠道和各渠道的宣传推广内容，并引导流动科技馆重点利用数字化渠道扩大科普效能和影响力。</w:t>
      </w:r>
    </w:p>
    <w:p w14:paraId="7B0BA335">
      <w:pPr>
        <w:rPr>
          <w:rFonts w:hint="default"/>
          <w:lang w:val="en-US" w:eastAsia="zh-CN"/>
        </w:rPr>
      </w:pPr>
      <w:r>
        <w:rPr>
          <w:rFonts w:hint="eastAsia"/>
          <w:b/>
          <w:bCs/>
          <w:lang w:val="en-US" w:eastAsia="zh-CN"/>
        </w:rPr>
        <w:t>8.服务保障。</w:t>
      </w:r>
      <w:r>
        <w:rPr>
          <w:rFonts w:hint="eastAsia"/>
          <w:lang w:val="en-US" w:eastAsia="zh-CN"/>
        </w:rPr>
        <w:t>本章规定了流动科技馆开展科普教育服务的保障措施、保障内容及相应要求，包括展品维护、信息报送、档案建设、安全防控。</w:t>
      </w:r>
    </w:p>
    <w:p w14:paraId="5D352B52">
      <w:r>
        <w:rPr>
          <w:rFonts w:hint="eastAsia"/>
          <w:b/>
          <w:bCs/>
          <w:lang w:val="en-US" w:eastAsia="zh-CN"/>
        </w:rPr>
        <w:t>9.评价改进。</w:t>
      </w:r>
      <w:r>
        <w:rPr>
          <w:rFonts w:hint="eastAsia"/>
          <w:lang w:val="en-US" w:eastAsia="zh-CN"/>
        </w:rPr>
        <w:t>本章规定了对流动科技馆及其提供的科普教育服务进行评价与改进的方法手段和具体要求，旨在“以评促建、以评促改、以评促优”，实现科普效益和社会效益的双丰收。</w:t>
      </w:r>
    </w:p>
    <w:p w14:paraId="5833378D">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80" w:name="_Toc23437"/>
      <w:bookmarkStart w:id="81" w:name="_Toc23295"/>
      <w:bookmarkStart w:id="82" w:name="_Toc6173"/>
      <w:bookmarkStart w:id="83" w:name="_Toc16514"/>
      <w:bookmarkStart w:id="84" w:name="_Toc13932"/>
      <w:r>
        <w:rPr>
          <w:rFonts w:hint="eastAsia" w:ascii="楷体" w:hAnsi="楷体" w:eastAsia="楷体" w:cs="楷体"/>
          <w:b/>
          <w:bCs/>
          <w:kern w:val="0"/>
          <w:sz w:val="32"/>
          <w:szCs w:val="32"/>
          <w:lang w:val="en-US" w:eastAsia="zh-CN" w:bidi="ar"/>
        </w:rPr>
        <w:t>（二）主要技术指标、参数、试验验证的论述</w:t>
      </w:r>
      <w:bookmarkEnd w:id="80"/>
      <w:bookmarkEnd w:id="81"/>
      <w:bookmarkEnd w:id="82"/>
      <w:bookmarkEnd w:id="83"/>
      <w:bookmarkEnd w:id="84"/>
      <w:r>
        <w:rPr>
          <w:rFonts w:hint="eastAsia" w:ascii="楷体" w:hAnsi="楷体" w:eastAsia="楷体" w:cs="楷体"/>
          <w:b/>
          <w:bCs/>
          <w:kern w:val="0"/>
          <w:sz w:val="32"/>
          <w:szCs w:val="32"/>
          <w:lang w:val="en-US" w:eastAsia="zh-CN" w:bidi="ar"/>
        </w:rPr>
        <w:t xml:space="preserve"> </w:t>
      </w:r>
    </w:p>
    <w:p w14:paraId="196E8FE3">
      <w:pPr>
        <w:rPr>
          <w:rFonts w:hint="eastAsia" w:ascii="仿宋_GB2312" w:eastAsia="仿宋_GB2312"/>
          <w:lang w:val="en-US" w:eastAsia="zh-CN"/>
        </w:rPr>
      </w:pPr>
      <w:r>
        <w:rPr>
          <w:rFonts w:hint="eastAsia" w:ascii="仿宋_GB2312" w:eastAsia="仿宋_GB2312"/>
          <w:lang w:val="en-US" w:eastAsia="zh-CN"/>
        </w:rPr>
        <w:t>目前全国范围内尚没有流动科技馆科普教育服务的经验做法，相关标准也以服务保障内容为主。标准编制以上级法律法规和政策文件为指导，以</w:t>
      </w:r>
      <w:r>
        <w:rPr>
          <w:rFonts w:hint="eastAsia"/>
          <w:lang w:val="en-US" w:eastAsia="zh-CN"/>
        </w:rPr>
        <w:t>多年来</w:t>
      </w:r>
      <w:r>
        <w:rPr>
          <w:rFonts w:hint="eastAsia" w:ascii="仿宋_GB2312" w:eastAsia="仿宋_GB2312"/>
          <w:lang w:val="en-US" w:eastAsia="zh-CN"/>
        </w:rPr>
        <w:t>宁夏“流动科技馆”项目的运行经验和成果为主要内容，并在过程中广泛征求各方科普机构、科普组织的相关意见和建议，确保标准的科学性和适用性。</w:t>
      </w:r>
    </w:p>
    <w:p w14:paraId="10B1B800">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85" w:name="_Toc15917"/>
      <w:bookmarkStart w:id="86" w:name="_Toc19771"/>
      <w:bookmarkStart w:id="87" w:name="_Toc23814"/>
      <w:r>
        <w:rPr>
          <w:rFonts w:hint="eastAsia" w:ascii="黑体" w:hAnsi="黑体" w:eastAsia="黑体" w:cs="黑体"/>
          <w:kern w:val="2"/>
          <w:sz w:val="32"/>
          <w:szCs w:val="32"/>
          <w:lang w:val="en-US" w:eastAsia="zh-CN" w:bidi="ar-SA"/>
        </w:rPr>
        <w:t>六、重大意见分歧的处理依据</w:t>
      </w:r>
      <w:r>
        <w:rPr>
          <w:rFonts w:ascii="黑体" w:hAnsi="黑体" w:eastAsia="黑体" w:cs="黑体"/>
          <w:kern w:val="2"/>
          <w:sz w:val="32"/>
          <w:szCs w:val="32"/>
          <w:lang w:val="en-US" w:eastAsia="zh-CN" w:bidi="ar-SA"/>
        </w:rPr>
        <w:t>和结果</w:t>
      </w:r>
      <w:bookmarkEnd w:id="85"/>
      <w:bookmarkEnd w:id="86"/>
      <w:bookmarkEnd w:id="87"/>
    </w:p>
    <w:p w14:paraId="208414A2">
      <w:pPr>
        <w:bidi w:val="0"/>
        <w:ind w:firstLine="1440"/>
        <w:rPr>
          <w:rFonts w:hint="default"/>
          <w:lang w:val="en-US" w:eastAsia="zh-CN"/>
        </w:rPr>
      </w:pPr>
      <w:r>
        <w:rPr>
          <w:rFonts w:hint="eastAsia" w:ascii="仿宋_GB2312" w:eastAsia="仿宋_GB2312"/>
          <w:lang w:val="en-US" w:eastAsia="zh-CN"/>
        </w:rPr>
        <w:t>标准编制过程中</w:t>
      </w:r>
      <w:r>
        <w:rPr>
          <w:rFonts w:hint="eastAsia"/>
          <w:lang w:val="en-US" w:eastAsia="zh-CN"/>
        </w:rPr>
        <w:t>无</w:t>
      </w:r>
      <w:r>
        <w:rPr>
          <w:rFonts w:hint="eastAsia" w:ascii="仿宋_GB2312" w:eastAsia="仿宋_GB2312"/>
          <w:lang w:val="en-US" w:eastAsia="zh-CN"/>
        </w:rPr>
        <w:t>重大意见分歧。</w:t>
      </w:r>
    </w:p>
    <w:p w14:paraId="0DB03435">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88" w:name="_Toc26029"/>
      <w:bookmarkStart w:id="89" w:name="_Toc14531"/>
      <w:bookmarkStart w:id="90" w:name="_Toc7881"/>
      <w:r>
        <w:rPr>
          <w:rFonts w:hint="eastAsia" w:ascii="黑体" w:hAnsi="黑体" w:eastAsia="黑体" w:cs="黑体"/>
          <w:kern w:val="2"/>
          <w:sz w:val="32"/>
          <w:szCs w:val="32"/>
          <w:lang w:val="en-US" w:eastAsia="zh-CN" w:bidi="ar-SA"/>
        </w:rPr>
        <w:t>七、实施</w:t>
      </w:r>
      <w:r>
        <w:rPr>
          <w:rFonts w:ascii="黑体" w:hAnsi="黑体" w:eastAsia="黑体" w:cs="黑体"/>
          <w:kern w:val="2"/>
          <w:sz w:val="32"/>
          <w:szCs w:val="32"/>
          <w:lang w:val="en-US" w:eastAsia="zh-CN" w:bidi="ar-SA"/>
        </w:rPr>
        <w:t>标准的措施及建议</w:t>
      </w:r>
      <w:bookmarkEnd w:id="88"/>
      <w:bookmarkEnd w:id="89"/>
      <w:bookmarkEnd w:id="90"/>
    </w:p>
    <w:p w14:paraId="64D70099">
      <w:pPr>
        <w:rPr>
          <w:rFonts w:hint="eastAsia"/>
        </w:rPr>
      </w:pPr>
      <w:r>
        <w:rPr>
          <w:rFonts w:hint="eastAsia"/>
        </w:rPr>
        <w:t>本文件适用于</w:t>
      </w:r>
      <w:r>
        <w:rPr>
          <w:rFonts w:hint="eastAsia"/>
          <w:lang w:val="en-US" w:eastAsia="zh-CN"/>
        </w:rPr>
        <w:t>宁夏全区内科技馆、科普教育机构、博物馆、展览馆、美术馆等相关单位开展的流动科普服务。</w:t>
      </w:r>
    </w:p>
    <w:p w14:paraId="79CF4993">
      <w:r>
        <w:rPr>
          <w:rFonts w:hint="eastAsia"/>
        </w:rPr>
        <w:t>本标准制定发布后，由</w:t>
      </w:r>
      <w:r>
        <w:rPr>
          <w:rFonts w:hint="eastAsia" w:ascii="仿宋_GB2312" w:eastAsia="仿宋_GB2312"/>
          <w:lang w:val="en-US" w:eastAsia="zh-CN"/>
        </w:rPr>
        <w:t>相关单位</w:t>
      </w:r>
      <w:r>
        <w:rPr>
          <w:rFonts w:hint="eastAsia"/>
        </w:rPr>
        <w:t>对标准的发布及应用情况统一开展标准宣贯和实施推广工作。一是集中组织开展宣贯活动，阐释标准意义、解读标准内涵，开展标准实施行动，提高地方标准的覆盖范围。二是对本标准执行情况进行跟踪调查，及时发现和收集标准执行中发现的问题，不断修改完善，提升标准技术水平，进一步提高标准的科学性、合理性、协调性和可操作性。</w:t>
      </w:r>
    </w:p>
    <w:p w14:paraId="5E851CD2">
      <w:pPr>
        <w:keepNext/>
        <w:keepLines/>
        <w:widowControl w:val="0"/>
        <w:bidi w:val="0"/>
        <w:spacing w:beforeLines="0" w:beforeAutospacing="0" w:afterLines="0" w:afterAutospacing="0" w:line="560" w:lineRule="exact"/>
        <w:ind w:firstLine="640" w:firstLineChars="200"/>
        <w:jc w:val="both"/>
        <w:outlineLvl w:val="0"/>
        <w:rPr>
          <w:rFonts w:hint="eastAsia" w:ascii="黑体" w:hAnsi="黑体" w:eastAsia="黑体" w:cs="黑体"/>
          <w:kern w:val="2"/>
          <w:sz w:val="32"/>
          <w:szCs w:val="32"/>
          <w:lang w:val="en-US" w:eastAsia="zh-CN" w:bidi="ar-SA"/>
        </w:rPr>
      </w:pPr>
      <w:bookmarkStart w:id="91" w:name="_Toc9172"/>
      <w:bookmarkStart w:id="92" w:name="_Toc18527"/>
      <w:bookmarkStart w:id="93" w:name="_Toc16339"/>
      <w:r>
        <w:rPr>
          <w:rFonts w:hint="eastAsia" w:ascii="黑体" w:hAnsi="黑体" w:eastAsia="黑体" w:cs="黑体"/>
          <w:kern w:val="2"/>
          <w:sz w:val="32"/>
          <w:szCs w:val="32"/>
          <w:lang w:val="en-US" w:eastAsia="zh-CN" w:bidi="ar-SA"/>
        </w:rPr>
        <w:t>八、知识产权说明</w:t>
      </w:r>
      <w:bookmarkEnd w:id="91"/>
      <w:bookmarkEnd w:id="92"/>
      <w:bookmarkEnd w:id="93"/>
    </w:p>
    <w:p w14:paraId="59239433">
      <w:pPr>
        <w:bidi w:val="0"/>
        <w:ind w:firstLine="1440"/>
        <w:rPr>
          <w:rFonts w:hint="eastAsia" w:eastAsia="仿宋_GB2312"/>
          <w:lang w:val="en-US" w:eastAsia="zh-CN"/>
        </w:rPr>
      </w:pPr>
      <w:r>
        <w:rPr>
          <w:rFonts w:hint="eastAsia" w:ascii="仿宋_GB2312" w:eastAsia="仿宋_GB2312"/>
          <w:lang w:val="en-US" w:eastAsia="zh-CN"/>
        </w:rPr>
        <w:t>本标准不涉及知识产权。</w:t>
      </w:r>
    </w:p>
    <w:p w14:paraId="2981796E">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94" w:name="_Toc32643"/>
      <w:bookmarkStart w:id="95" w:name="_Toc23708"/>
      <w:bookmarkStart w:id="96" w:name="_Toc20999"/>
      <w:r>
        <w:rPr>
          <w:rFonts w:hint="eastAsia" w:ascii="黑体" w:hAnsi="黑体" w:eastAsia="黑体" w:cs="黑体"/>
          <w:kern w:val="2"/>
          <w:sz w:val="32"/>
          <w:szCs w:val="32"/>
          <w:lang w:val="en-US" w:eastAsia="zh-CN" w:bidi="ar-SA"/>
        </w:rPr>
        <w:t>九、其他应说明的事项</w:t>
      </w:r>
      <w:bookmarkEnd w:id="94"/>
      <w:bookmarkEnd w:id="95"/>
      <w:bookmarkEnd w:id="96"/>
    </w:p>
    <w:p w14:paraId="48908F7B">
      <w:pPr>
        <w:rPr>
          <w:rFonts w:hint="default" w:eastAsia="仿宋_GB2312"/>
          <w:lang w:val="en-US" w:eastAsia="zh-CN"/>
        </w:rPr>
      </w:pPr>
      <w:r>
        <w:rPr>
          <w:rFonts w:hint="eastAsia"/>
          <w:lang w:val="en-US" w:eastAsia="zh-CN"/>
        </w:rPr>
        <w:t>流动科技馆相关</w:t>
      </w:r>
      <w:r>
        <w:rPr>
          <w:rFonts w:hint="eastAsia"/>
        </w:rPr>
        <w:t>标准</w:t>
      </w:r>
      <w:r>
        <w:rPr>
          <w:rFonts w:hint="eastAsia"/>
          <w:lang w:val="en-US" w:eastAsia="zh-CN"/>
        </w:rPr>
        <w:t>见表1</w:t>
      </w:r>
      <w:r>
        <w:rPr>
          <w:rFonts w:hint="eastAsia"/>
        </w:rPr>
        <w:t>。国家</w:t>
      </w:r>
      <w:r>
        <w:rPr>
          <w:rFonts w:hint="eastAsia"/>
          <w:lang w:eastAsia="zh-CN"/>
        </w:rPr>
        <w:t>、</w:t>
      </w:r>
      <w:r>
        <w:rPr>
          <w:rFonts w:hint="eastAsia"/>
          <w:lang w:val="en-US" w:eastAsia="zh-CN"/>
        </w:rPr>
        <w:t>行业</w:t>
      </w:r>
      <w:r>
        <w:rPr>
          <w:rFonts w:hint="eastAsia"/>
        </w:rPr>
        <w:t>尚</w:t>
      </w:r>
      <w:r>
        <w:rPr>
          <w:rFonts w:hint="eastAsia"/>
          <w:lang w:val="en-US" w:eastAsia="zh-CN"/>
        </w:rPr>
        <w:t>未</w:t>
      </w:r>
      <w:r>
        <w:rPr>
          <w:rFonts w:hint="eastAsia"/>
        </w:rPr>
        <w:t>制定流动类科普方面的标准。地方标准中有安徽省与江苏省制定了</w:t>
      </w:r>
      <w:r>
        <w:rPr>
          <w:rFonts w:hint="eastAsia"/>
          <w:lang w:val="en-US" w:eastAsia="zh-CN"/>
        </w:rPr>
        <w:t>流动科技化</w:t>
      </w:r>
      <w:r>
        <w:rPr>
          <w:rFonts w:hint="eastAsia"/>
        </w:rPr>
        <w:t>服务标准</w:t>
      </w:r>
      <w:r>
        <w:rPr>
          <w:rFonts w:hint="eastAsia"/>
          <w:lang w:eastAsia="zh-CN"/>
        </w:rPr>
        <w:t>。</w:t>
      </w:r>
      <w:r>
        <w:rPr>
          <w:rFonts w:hint="eastAsia"/>
        </w:rPr>
        <w:t>江苏省于2016年发布，一方面发布时间较长</w:t>
      </w:r>
      <w:r>
        <w:rPr>
          <w:rFonts w:hint="eastAsia"/>
          <w:lang w:eastAsia="zh-CN"/>
        </w:rPr>
        <w:t>，</w:t>
      </w:r>
      <w:r>
        <w:rPr>
          <w:rFonts w:hint="eastAsia"/>
        </w:rPr>
        <w:t>另一方面内容主要体现于服务流程与服务实施中的场地布置等内容；安徽省于2024年发布，内容包括服务对象、服务资源、服务准备、服务设施、评价与改进等，比较完整</w:t>
      </w:r>
      <w:r>
        <w:rPr>
          <w:rFonts w:hint="eastAsia"/>
          <w:lang w:eastAsia="zh-CN"/>
        </w:rPr>
        <w:t>，</w:t>
      </w:r>
      <w:r>
        <w:rPr>
          <w:rFonts w:hint="eastAsia"/>
          <w:lang w:val="en-US" w:eastAsia="zh-CN"/>
        </w:rPr>
        <w:t>但对于科普服务内容、科普服务形式及方法等没有过多阐述。</w:t>
      </w:r>
    </w:p>
    <w:p w14:paraId="7F8CE283">
      <w:pPr>
        <w:rPr>
          <w:rFonts w:hint="default"/>
          <w:lang w:val="en-US" w:eastAsia="zh-CN"/>
        </w:rPr>
      </w:pPr>
      <w:r>
        <w:rPr>
          <w:rFonts w:hint="eastAsia"/>
          <w:lang w:val="en-US" w:eastAsia="zh-CN"/>
        </w:rPr>
        <w:t>本标准以实践经验为总体指导，全面梳理宁夏“流动科技馆”项目的先进做法和优秀模式，以专业性、内容性、全面性为核心，着重针对流动科技馆提供科普教育服务的服务项目、服务内容和服务方式进行内容呈现，以更加具体和有针对性的服务策略提升项目的服务质量和服务资料利用效率，提升流动科技馆服务质量和效果的同时，助推宁夏现代科技馆体系的公益性、普及性、科学性、创新性发展，并为全国科普教育服务提供方向指导。</w:t>
      </w:r>
    </w:p>
    <w:p w14:paraId="07EBA671">
      <w:pPr>
        <w:pStyle w:val="14"/>
        <w:bidi w:val="0"/>
        <w:rPr>
          <w:rFonts w:hint="default"/>
          <w:lang w:val="en-US" w:eastAsia="zh-CN"/>
        </w:rPr>
      </w:pPr>
      <w:r>
        <w:rPr>
          <w:rFonts w:hint="eastAsia"/>
          <w:lang w:val="en-US" w:eastAsia="zh-CN"/>
        </w:rPr>
        <w:t>表1 流动科技馆相关标准</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350"/>
        <w:gridCol w:w="4550"/>
        <w:gridCol w:w="1180"/>
      </w:tblGrid>
      <w:tr w14:paraId="0B01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21" w:type="pct"/>
            <w:vAlign w:val="top"/>
          </w:tcPr>
          <w:p w14:paraId="1C4A35F3">
            <w:pPr>
              <w:pStyle w:val="15"/>
              <w:keepNext w:val="0"/>
              <w:keepLines w:val="0"/>
              <w:suppressLineNumbers w:val="0"/>
              <w:bidi w:val="0"/>
              <w:spacing w:before="0" w:beforeAutospacing="0" w:after="0" w:afterAutospacing="0"/>
              <w:ind w:left="0" w:right="0"/>
              <w:rPr>
                <w:rFonts w:hint="eastAsia"/>
                <w:sz w:val="24"/>
                <w:szCs w:val="24"/>
                <w:lang w:val="en-US" w:eastAsia="zh-CN"/>
              </w:rPr>
            </w:pPr>
            <w:r>
              <w:rPr>
                <w:rFonts w:hint="eastAsia"/>
                <w:sz w:val="24"/>
                <w:szCs w:val="24"/>
                <w:lang w:val="en-US" w:eastAsia="zh-CN"/>
              </w:rPr>
              <w:t>序号</w:t>
            </w:r>
          </w:p>
        </w:tc>
        <w:tc>
          <w:tcPr>
            <w:tcW w:w="1303" w:type="pct"/>
            <w:vAlign w:val="top"/>
          </w:tcPr>
          <w:p w14:paraId="0074170E">
            <w:pPr>
              <w:pStyle w:val="15"/>
              <w:keepNext w:val="0"/>
              <w:keepLines w:val="0"/>
              <w:suppressLineNumbers w:val="0"/>
              <w:bidi w:val="0"/>
              <w:spacing w:before="0" w:beforeAutospacing="0" w:after="0" w:afterAutospacing="0"/>
              <w:ind w:left="0" w:right="0"/>
              <w:rPr>
                <w:sz w:val="24"/>
                <w:szCs w:val="24"/>
                <w:lang w:val="en-US" w:eastAsia="zh-CN"/>
              </w:rPr>
            </w:pPr>
            <w:r>
              <w:rPr>
                <w:rFonts w:hint="eastAsia"/>
                <w:sz w:val="24"/>
                <w:szCs w:val="24"/>
                <w:lang w:val="en-US" w:eastAsia="zh-CN"/>
              </w:rPr>
              <w:t>标准编号</w:t>
            </w:r>
          </w:p>
        </w:tc>
        <w:tc>
          <w:tcPr>
            <w:tcW w:w="2517" w:type="pct"/>
            <w:vAlign w:val="top"/>
          </w:tcPr>
          <w:p w14:paraId="71F0F92E">
            <w:pPr>
              <w:pStyle w:val="15"/>
              <w:keepNext w:val="0"/>
              <w:keepLines w:val="0"/>
              <w:suppressLineNumbers w:val="0"/>
              <w:bidi w:val="0"/>
              <w:spacing w:before="0" w:beforeAutospacing="0" w:after="0" w:afterAutospacing="0"/>
              <w:ind w:left="0" w:right="0"/>
              <w:rPr>
                <w:sz w:val="24"/>
                <w:szCs w:val="24"/>
                <w:lang w:val="en-US" w:eastAsia="zh-CN"/>
              </w:rPr>
            </w:pPr>
            <w:r>
              <w:rPr>
                <w:rFonts w:hint="eastAsia"/>
                <w:sz w:val="24"/>
                <w:szCs w:val="24"/>
                <w:lang w:val="en-US" w:eastAsia="zh-CN"/>
              </w:rPr>
              <w:t>标准名称</w:t>
            </w:r>
          </w:p>
        </w:tc>
        <w:tc>
          <w:tcPr>
            <w:tcW w:w="657" w:type="pct"/>
            <w:vAlign w:val="top"/>
          </w:tcPr>
          <w:p w14:paraId="2C7BD8B8">
            <w:pPr>
              <w:pStyle w:val="15"/>
              <w:keepNext w:val="0"/>
              <w:keepLines w:val="0"/>
              <w:suppressLineNumbers w:val="0"/>
              <w:bidi w:val="0"/>
              <w:spacing w:before="0" w:beforeAutospacing="0" w:after="0" w:afterAutospacing="0"/>
              <w:ind w:left="0" w:right="0"/>
              <w:rPr>
                <w:rFonts w:hint="default"/>
                <w:sz w:val="24"/>
                <w:szCs w:val="24"/>
                <w:lang w:val="en-US" w:eastAsia="zh-CN"/>
              </w:rPr>
            </w:pPr>
            <w:r>
              <w:rPr>
                <w:rFonts w:hint="eastAsia"/>
                <w:sz w:val="24"/>
                <w:szCs w:val="24"/>
                <w:lang w:val="en-US" w:eastAsia="zh-CN"/>
              </w:rPr>
              <w:t>地区</w:t>
            </w:r>
          </w:p>
        </w:tc>
      </w:tr>
      <w:tr w14:paraId="16B4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21" w:type="pct"/>
            <w:vAlign w:val="center"/>
          </w:tcPr>
          <w:p w14:paraId="0CA6D0D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kern w:val="0"/>
                <w:sz w:val="24"/>
                <w:szCs w:val="24"/>
                <w:lang w:val="en-US" w:eastAsia="zh-CN" w:bidi="ar-SA"/>
              </w:rPr>
              <w:t>1</w:t>
            </w:r>
          </w:p>
        </w:tc>
        <w:tc>
          <w:tcPr>
            <w:tcW w:w="1303" w:type="pct"/>
            <w:shd w:val="clear" w:color="auto" w:fill="auto"/>
            <w:vAlign w:val="center"/>
          </w:tcPr>
          <w:p w14:paraId="1AE13D7D">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rPr>
              <w:t>DB32/T 3163-2016</w:t>
            </w:r>
          </w:p>
        </w:tc>
        <w:tc>
          <w:tcPr>
            <w:tcW w:w="2517" w:type="pct"/>
            <w:shd w:val="clear" w:color="auto" w:fill="auto"/>
            <w:vAlign w:val="center"/>
          </w:tcPr>
          <w:p w14:paraId="0503222F">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rPr>
              <w:t>流动科技馆服务规范</w:t>
            </w:r>
          </w:p>
        </w:tc>
        <w:tc>
          <w:tcPr>
            <w:tcW w:w="657" w:type="pct"/>
            <w:shd w:val="clear" w:color="auto" w:fill="auto"/>
            <w:vAlign w:val="center"/>
          </w:tcPr>
          <w:p w14:paraId="2927B4BE">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zh-CN"/>
              </w:rPr>
              <w:t>江苏省</w:t>
            </w:r>
          </w:p>
        </w:tc>
      </w:tr>
      <w:tr w14:paraId="4105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21" w:type="pct"/>
            <w:vAlign w:val="center"/>
          </w:tcPr>
          <w:p w14:paraId="75D81BFB">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kern w:val="0"/>
                <w:sz w:val="24"/>
                <w:szCs w:val="24"/>
                <w:lang w:val="en-US" w:eastAsia="zh-CN" w:bidi="ar-SA"/>
              </w:rPr>
              <w:t>2</w:t>
            </w:r>
          </w:p>
        </w:tc>
        <w:tc>
          <w:tcPr>
            <w:tcW w:w="1303" w:type="pct"/>
            <w:shd w:val="clear" w:color="auto" w:fill="auto"/>
            <w:vAlign w:val="center"/>
          </w:tcPr>
          <w:p w14:paraId="1E77C2AE">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rPr>
              <w:t>DB34/T 4670-2024</w:t>
            </w:r>
          </w:p>
        </w:tc>
        <w:tc>
          <w:tcPr>
            <w:tcW w:w="2517" w:type="pct"/>
            <w:shd w:val="clear" w:color="auto" w:fill="auto"/>
            <w:vAlign w:val="center"/>
          </w:tcPr>
          <w:p w14:paraId="4FE6D865">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rPr>
              <w:t>流动科技馆科普服务规范</w:t>
            </w:r>
          </w:p>
        </w:tc>
        <w:tc>
          <w:tcPr>
            <w:tcW w:w="657" w:type="pct"/>
            <w:shd w:val="clear" w:color="auto" w:fill="auto"/>
            <w:vAlign w:val="center"/>
          </w:tcPr>
          <w:p w14:paraId="1110C3A8">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000000"/>
                <w:kern w:val="2"/>
                <w:sz w:val="24"/>
                <w:szCs w:val="24"/>
                <w:lang w:val="zh-CN" w:eastAsia="zh-CN" w:bidi="ar-SA"/>
              </w:rPr>
            </w:pPr>
            <w:r>
              <w:rPr>
                <w:rFonts w:hint="eastAsia" w:ascii="仿宋_GB2312" w:hAnsi="仿宋_GB2312" w:eastAsia="仿宋_GB2312" w:cs="仿宋_GB2312"/>
                <w:color w:val="000000"/>
                <w:sz w:val="24"/>
                <w:szCs w:val="24"/>
                <w:lang w:val="zh-CN"/>
              </w:rPr>
              <w:t>安徽省</w:t>
            </w:r>
          </w:p>
        </w:tc>
      </w:tr>
      <w:tr w14:paraId="5C1F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21" w:type="pct"/>
            <w:vAlign w:val="center"/>
          </w:tcPr>
          <w:p w14:paraId="3FEFB1BD">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kern w:val="0"/>
                <w:sz w:val="24"/>
                <w:szCs w:val="24"/>
                <w:lang w:val="en-US" w:eastAsia="zh-CN" w:bidi="ar-SA"/>
              </w:rPr>
              <w:t>3</w:t>
            </w:r>
          </w:p>
        </w:tc>
        <w:tc>
          <w:tcPr>
            <w:tcW w:w="1303" w:type="pct"/>
            <w:vAlign w:val="center"/>
          </w:tcPr>
          <w:p w14:paraId="74BECC00">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DB34/T 3915-2021</w:t>
            </w:r>
          </w:p>
        </w:tc>
        <w:tc>
          <w:tcPr>
            <w:tcW w:w="2517" w:type="pct"/>
            <w:vAlign w:val="center"/>
          </w:tcPr>
          <w:p w14:paraId="61D56EDB">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流动科技馆展览规划设计通用技术条件</w:t>
            </w:r>
          </w:p>
        </w:tc>
        <w:tc>
          <w:tcPr>
            <w:tcW w:w="657" w:type="pct"/>
            <w:vAlign w:val="center"/>
          </w:tcPr>
          <w:p w14:paraId="6E345372">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安徽省</w:t>
            </w:r>
          </w:p>
        </w:tc>
      </w:tr>
    </w:tbl>
    <w:p w14:paraId="400A0E09"/>
    <w:p w14:paraId="4B58D5BF">
      <w:pPr>
        <w:rPr>
          <w:rFonts w:hint="eastAsia" w:ascii="黑体" w:hAnsi="黑体" w:eastAsia="黑体" w:cs="黑体"/>
          <w:lang w:val="en-US" w:eastAsia="zh-CN"/>
        </w:rPr>
      </w:pPr>
      <w:r>
        <w:rPr>
          <w:rFonts w:hint="eastAsia" w:ascii="黑体" w:hAnsi="黑体" w:eastAsia="黑体" w:cs="黑体"/>
          <w:lang w:val="en-US" w:eastAsia="zh-CN"/>
        </w:rPr>
        <w:br w:type="page"/>
      </w:r>
    </w:p>
    <w:p w14:paraId="3D48C99E">
      <w:pPr>
        <w:ind w:left="0" w:leftChars="0" w:firstLine="0" w:firstLineChars="0"/>
        <w:outlineLvl w:val="0"/>
        <w:rPr>
          <w:rFonts w:hint="eastAsia" w:ascii="黑体" w:hAnsi="黑体" w:eastAsia="黑体" w:cs="黑体"/>
          <w:lang w:val="en-US" w:eastAsia="zh-CN"/>
        </w:rPr>
      </w:pPr>
      <w:bookmarkStart w:id="97" w:name="_Toc25652"/>
      <w:r>
        <w:rPr>
          <w:rFonts w:hint="eastAsia" w:ascii="黑体" w:hAnsi="黑体" w:eastAsia="黑体" w:cs="黑体"/>
          <w:lang w:val="en-US" w:eastAsia="zh-CN"/>
        </w:rPr>
        <w:t>附件1</w:t>
      </w:r>
      <w:bookmarkEnd w:id="97"/>
    </w:p>
    <w:p w14:paraId="3AB9BCEE">
      <w:pPr>
        <w:ind w:left="0" w:leftChars="0" w:firstLine="0" w:firstLineChars="0"/>
        <w:rPr>
          <w:rFonts w:hint="eastAsia" w:ascii="黑体" w:hAnsi="黑体" w:eastAsia="黑体" w:cs="黑体"/>
          <w:lang w:val="en-US" w:eastAsia="zh-CN"/>
        </w:rPr>
      </w:pPr>
    </w:p>
    <w:p w14:paraId="43E8FBF6">
      <w:pPr>
        <w:pStyle w:val="2"/>
        <w:bidi w:val="0"/>
        <w:rPr>
          <w:rFonts w:hint="eastAsia"/>
          <w:lang w:val="en-US" w:eastAsia="zh-CN"/>
        </w:rPr>
      </w:pPr>
      <w:bookmarkStart w:id="98" w:name="_Toc26195"/>
      <w:r>
        <w:rPr>
          <w:rFonts w:hint="eastAsia"/>
          <w:lang w:val="en-US" w:eastAsia="zh-CN"/>
        </w:rPr>
        <w:t>自治区市场监管厅关于下达“两新”工作</w:t>
      </w:r>
      <w:bookmarkEnd w:id="98"/>
    </w:p>
    <w:p w14:paraId="485A9EF4">
      <w:pPr>
        <w:pStyle w:val="2"/>
        <w:bidi w:val="0"/>
        <w:rPr>
          <w:rFonts w:hint="eastAsia"/>
          <w:lang w:val="en-US" w:eastAsia="zh-CN"/>
        </w:rPr>
      </w:pPr>
      <w:bookmarkStart w:id="99" w:name="_Toc18702"/>
      <w:r>
        <w:rPr>
          <w:rFonts w:hint="eastAsia"/>
          <w:lang w:val="en-US" w:eastAsia="zh-CN"/>
        </w:rPr>
        <w:t>地方标准制（修）订计划的通知</w:t>
      </w:r>
      <w:bookmarkEnd w:id="99"/>
    </w:p>
    <w:p w14:paraId="7F7EE9BF">
      <w:pPr>
        <w:rPr>
          <w:rFonts w:hint="eastAsia"/>
          <w:lang w:val="en-US" w:eastAsia="zh-CN"/>
        </w:rPr>
      </w:pPr>
    </w:p>
    <w:p w14:paraId="64975826">
      <w:pPr>
        <w:spacing w:line="240" w:lineRule="auto"/>
        <w:ind w:left="0" w:leftChars="0" w:firstLine="0" w:firstLineChars="0"/>
        <w:jc w:val="distribute"/>
        <w:rPr>
          <w:rFonts w:hint="eastAsia"/>
          <w:lang w:val="en-US" w:eastAsia="zh-CN"/>
        </w:rPr>
      </w:pPr>
      <w:r>
        <w:rPr>
          <w:rFonts w:hint="eastAsia" w:ascii="仿宋_GB2312" w:eastAsia="仿宋_GB2312"/>
          <w:lang w:val="en-US" w:eastAsia="zh-CN"/>
        </w:rPr>
        <w:drawing>
          <wp:inline distT="0" distB="0" distL="114300" distR="114300">
            <wp:extent cx="1272540" cy="1800225"/>
            <wp:effectExtent l="9525" t="9525" r="13335" b="19050"/>
            <wp:docPr id="8" name="图片 8" descr="自治区市场监管厅关于下达以标准提升牵引设备更新和消费品以旧换新地方标准制（修） 订计划的通知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自治区市场监管厅关于下达以标准提升牵引设备更新和消费品以旧换新地方标准制（修） 订计划的通知_1"/>
                    <pic:cNvPicPr>
                      <a:picLocks noChangeAspect="1"/>
                    </pic:cNvPicPr>
                  </pic:nvPicPr>
                  <pic:blipFill>
                    <a:blip r:embed="rId7"/>
                    <a:stretch>
                      <a:fillRect/>
                    </a:stretch>
                  </pic:blipFill>
                  <pic:spPr>
                    <a:xfrm>
                      <a:off x="0" y="0"/>
                      <a:ext cx="1272540" cy="1800225"/>
                    </a:xfrm>
                    <a:prstGeom prst="rect">
                      <a:avLst/>
                    </a:prstGeom>
                    <a:ln w="6350">
                      <a:solidFill>
                        <a:schemeClr val="tx1"/>
                      </a:solidFill>
                    </a:ln>
                  </pic:spPr>
                </pic:pic>
              </a:graphicData>
            </a:graphic>
          </wp:inline>
        </w:drawing>
      </w:r>
      <w:r>
        <w:rPr>
          <w:rFonts w:hint="eastAsia" w:ascii="仿宋_GB2312" w:eastAsia="仿宋_GB2312"/>
          <w:lang w:val="en-US" w:eastAsia="zh-CN"/>
        </w:rPr>
        <w:drawing>
          <wp:inline distT="0" distB="0" distL="114300" distR="114300">
            <wp:extent cx="1272540" cy="1800225"/>
            <wp:effectExtent l="9525" t="9525" r="13335" b="19050"/>
            <wp:docPr id="7" name="图片 7" descr="自治区市场监管厅关于下达以标准提升牵引设备更新和消费品以旧换新地方标准制（修） 订计划的通知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自治区市场监管厅关于下达以标准提升牵引设备更新和消费品以旧换新地方标准制（修） 订计划的通知_2"/>
                    <pic:cNvPicPr>
                      <a:picLocks noChangeAspect="1"/>
                    </pic:cNvPicPr>
                  </pic:nvPicPr>
                  <pic:blipFill>
                    <a:blip r:embed="rId8"/>
                    <a:stretch>
                      <a:fillRect/>
                    </a:stretch>
                  </pic:blipFill>
                  <pic:spPr>
                    <a:xfrm>
                      <a:off x="0" y="0"/>
                      <a:ext cx="1272540" cy="1800225"/>
                    </a:xfrm>
                    <a:prstGeom prst="rect">
                      <a:avLst/>
                    </a:prstGeom>
                    <a:ln w="6350">
                      <a:solidFill>
                        <a:schemeClr val="tx1"/>
                      </a:solidFill>
                    </a:ln>
                  </pic:spPr>
                </pic:pic>
              </a:graphicData>
            </a:graphic>
          </wp:inline>
        </w:drawing>
      </w:r>
      <w:r>
        <w:rPr>
          <w:rFonts w:hint="eastAsia" w:ascii="仿宋_GB2312" w:eastAsia="仿宋_GB2312"/>
          <w:lang w:val="en-US" w:eastAsia="zh-CN"/>
        </w:rPr>
        <w:drawing>
          <wp:inline distT="0" distB="0" distL="114300" distR="114300">
            <wp:extent cx="1800225" cy="2546350"/>
            <wp:effectExtent l="9525" t="9525" r="9525" b="19050"/>
            <wp:docPr id="6" name="图片 6" descr="自治区市场监管厅关于下达以标准提升牵引设备更新和消费品以旧换新地方标准制（修） 订计划的通知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自治区市场监管厅关于下达以标准提升牵引设备更新和消费品以旧换新地方标准制（修） 订计划的通知_3"/>
                    <pic:cNvPicPr>
                      <a:picLocks noChangeAspect="1"/>
                    </pic:cNvPicPr>
                  </pic:nvPicPr>
                  <pic:blipFill>
                    <a:blip r:embed="rId9"/>
                    <a:stretch>
                      <a:fillRect/>
                    </a:stretch>
                  </pic:blipFill>
                  <pic:spPr>
                    <a:xfrm rot="5400000">
                      <a:off x="0" y="0"/>
                      <a:ext cx="1800225" cy="2546350"/>
                    </a:xfrm>
                    <a:prstGeom prst="rect">
                      <a:avLst/>
                    </a:prstGeom>
                    <a:ln w="6350">
                      <a:solidFill>
                        <a:schemeClr val="tx1"/>
                      </a:solidFill>
                    </a:ln>
                  </pic:spPr>
                </pic:pic>
              </a:graphicData>
            </a:graphic>
          </wp:inline>
        </w:drawing>
      </w:r>
    </w:p>
    <w:p w14:paraId="4256EAE4">
      <w:pPr>
        <w:spacing w:line="240" w:lineRule="auto"/>
        <w:ind w:left="0" w:leftChars="0" w:firstLine="0" w:firstLineChars="0"/>
        <w:jc w:val="distribute"/>
        <w:rPr>
          <w:rFonts w:hint="eastAsia"/>
          <w:lang w:val="en-US" w:eastAsia="zh-CN"/>
        </w:rPr>
      </w:pPr>
      <w:r>
        <w:rPr>
          <w:rFonts w:hint="eastAsia" w:ascii="仿宋_GB2312" w:eastAsia="仿宋_GB2312"/>
          <w:lang w:val="en-US" w:eastAsia="zh-CN"/>
        </w:rPr>
        <w:drawing>
          <wp:inline distT="0" distB="0" distL="114300" distR="114300">
            <wp:extent cx="5615940" cy="3970655"/>
            <wp:effectExtent l="9525" t="9525" r="13335" b="20320"/>
            <wp:docPr id="10" name="图片 10" descr="自治区市场监管厅关于下达以标准提升牵引设备更新和消费品以旧换新地方标准制（修） 订计划的通知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自治区市场监管厅关于下达以标准提升牵引设备更新和消费品以旧换新地方标准制（修） 订计划的通知_4"/>
                    <pic:cNvPicPr>
                      <a:picLocks noChangeAspect="1"/>
                    </pic:cNvPicPr>
                  </pic:nvPicPr>
                  <pic:blipFill>
                    <a:blip r:embed="rId10"/>
                    <a:stretch>
                      <a:fillRect/>
                    </a:stretch>
                  </pic:blipFill>
                  <pic:spPr>
                    <a:xfrm>
                      <a:off x="0" y="0"/>
                      <a:ext cx="5615940" cy="3970655"/>
                    </a:xfrm>
                    <a:prstGeom prst="rect">
                      <a:avLst/>
                    </a:prstGeom>
                    <a:ln w="6350">
                      <a:solidFill>
                        <a:schemeClr val="tx1"/>
                      </a:solidFill>
                    </a:ln>
                  </pic:spPr>
                </pic:pic>
              </a:graphicData>
            </a:graphic>
          </wp:inline>
        </w:drawing>
      </w:r>
    </w:p>
    <w:sectPr>
      <w:footerReference r:id="rId5" w:type="default"/>
      <w:pgSz w:w="11906" w:h="16838"/>
      <w:pgMar w:top="2154" w:right="1474" w:bottom="2041" w:left="1587" w:header="851" w:footer="992" w:gutter="0"/>
      <w:pgNumType w:fmt="decimal"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D99709-D721-4085-947F-AD10CABBF9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504D19-1D11-4EFA-8ED7-58DDE1AF155B}"/>
  </w:font>
  <w:font w:name="仿宋_GB2312">
    <w:panose1 w:val="02010609030101010101"/>
    <w:charset w:val="86"/>
    <w:family w:val="auto"/>
    <w:pitch w:val="default"/>
    <w:sig w:usb0="00000001" w:usb1="080E0000" w:usb2="00000000" w:usb3="00000000" w:csb0="00040000" w:csb1="00000000"/>
    <w:embedRegular r:id="rId3" w:fontKey="{CDB27471-5798-4B56-89C6-5BFDF8A6F85D}"/>
  </w:font>
  <w:font w:name="方正小标宋简体">
    <w:panose1 w:val="03000509000000000000"/>
    <w:charset w:val="86"/>
    <w:family w:val="auto"/>
    <w:pitch w:val="default"/>
    <w:sig w:usb0="00000001" w:usb1="080E0000" w:usb2="00000000" w:usb3="00000000" w:csb0="00040000" w:csb1="00000000"/>
    <w:embedRegular r:id="rId4" w:fontKey="{AE88AF97-82EA-4E6C-A136-99CC9C172111}"/>
  </w:font>
  <w:font w:name="楷体">
    <w:panose1 w:val="02010609060101010101"/>
    <w:charset w:val="86"/>
    <w:family w:val="auto"/>
    <w:pitch w:val="default"/>
    <w:sig w:usb0="800002BF" w:usb1="38CF7CFA" w:usb2="00000016" w:usb3="00000000" w:csb0="00040001" w:csb1="00000000"/>
    <w:embedRegular r:id="rId5" w:fontKey="{DF95C948-7153-49C3-9E22-0D591313F16E}"/>
  </w:font>
  <w:font w:name="微软雅黑">
    <w:panose1 w:val="020B0503020204020204"/>
    <w:charset w:val="86"/>
    <w:family w:val="swiss"/>
    <w:pitch w:val="default"/>
    <w:sig w:usb0="80000287" w:usb1="2ACF3C50" w:usb2="00000016" w:usb3="00000000" w:csb0="0004001F" w:csb1="00000000"/>
    <w:embedRegular r:id="rId6" w:fontKey="{0367B0B7-AA77-4FA3-812D-FBF0F99E80F9}"/>
  </w:font>
  <w:font w:name="方正小标宋_GBK">
    <w:panose1 w:val="03000509000000000000"/>
    <w:charset w:val="86"/>
    <w:family w:val="auto"/>
    <w:pitch w:val="default"/>
    <w:sig w:usb0="00000001" w:usb1="080E0000" w:usb2="00000000" w:usb3="00000000" w:csb0="00040000" w:csb1="00000000"/>
    <w:embedRegular r:id="rId7" w:fontKey="{E07771C5-2D87-4DC0-A113-A6C0F8B3AA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DCCFD">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2458085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A243B">
                          <w:pPr>
                            <w:pStyle w:val="8"/>
                            <w:ind w:left="0" w:leftChars="0" w:right="0" w:rightChars="0" w:firstLine="0" w:firstLineChars="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55pt;margin-top:0pt;height:144pt;width:144pt;mso-position-horizontal-relative:margin;mso-wrap-style:none;z-index:251659264;mso-width-relative:page;mso-height-relative:page;" filled="f" stroked="f" coordsize="21600,21600" o:gfxdata="UEsDBAoAAAAAAIdO4kAAAAAAAAAAAAAAAAAEAAAAZHJzL1BLAwQUAAAACACHTuJADfhqwNUAAAAI&#10;AQAADwAAAGRycy9kb3ducmV2LnhtbE2PzU7DMBCE70i8g7VI3KidtrRRiFOJivSIRMOBoxsvScA/&#10;ke2m4e1ZTvQ4mtHMN+VutoZNGOLgnYRsIYCha70eXCfhvakfcmAxKaeV8Q4l/GCEXXV7U6pC+4t7&#10;w+mYOkYlLhZKQp/SWHAe2x6tigs/oiPv0werEsnQcR3Uhcqt4UshNtyqwdFCr0bc99h+H89Wwr5u&#10;mjBhDOYDD/Xq6/V5jS+zlPd3mXgClnBO/2H4wyd0qIjp5M9OR2YkrPJtRlEJ9IjszfaR5EnCMs8F&#10;8Krk1we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fhqw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2EEA243B">
                    <w:pPr>
                      <w:pStyle w:val="8"/>
                      <w:ind w:left="0" w:leftChars="0" w:right="0" w:rightChars="0" w:firstLine="0" w:firstLineChars="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82521"/>
    <w:rsid w:val="09405470"/>
    <w:rsid w:val="0AF4446C"/>
    <w:rsid w:val="0B310220"/>
    <w:rsid w:val="0F7756E1"/>
    <w:rsid w:val="103B2A77"/>
    <w:rsid w:val="11F83D80"/>
    <w:rsid w:val="15CA3F63"/>
    <w:rsid w:val="15DA0649"/>
    <w:rsid w:val="18422F3E"/>
    <w:rsid w:val="193F5936"/>
    <w:rsid w:val="19756B20"/>
    <w:rsid w:val="1AE0349B"/>
    <w:rsid w:val="1B087B35"/>
    <w:rsid w:val="1C1036BB"/>
    <w:rsid w:val="1C2C0B25"/>
    <w:rsid w:val="1C5D1817"/>
    <w:rsid w:val="1C6C1915"/>
    <w:rsid w:val="1D9E5B68"/>
    <w:rsid w:val="1EC34A98"/>
    <w:rsid w:val="212117A3"/>
    <w:rsid w:val="21E76F64"/>
    <w:rsid w:val="240F0226"/>
    <w:rsid w:val="26D51320"/>
    <w:rsid w:val="2981109C"/>
    <w:rsid w:val="29E7473A"/>
    <w:rsid w:val="2A020879"/>
    <w:rsid w:val="2C6538E6"/>
    <w:rsid w:val="2CE71667"/>
    <w:rsid w:val="2E40264F"/>
    <w:rsid w:val="30007D2D"/>
    <w:rsid w:val="30392F7A"/>
    <w:rsid w:val="30C1148C"/>
    <w:rsid w:val="312241A9"/>
    <w:rsid w:val="336F7F23"/>
    <w:rsid w:val="338464A8"/>
    <w:rsid w:val="346274A2"/>
    <w:rsid w:val="34E15925"/>
    <w:rsid w:val="37394C42"/>
    <w:rsid w:val="37642D91"/>
    <w:rsid w:val="389B696E"/>
    <w:rsid w:val="3AD65407"/>
    <w:rsid w:val="3BCB19ED"/>
    <w:rsid w:val="3E5B6DEE"/>
    <w:rsid w:val="3EF5606E"/>
    <w:rsid w:val="40D55D8B"/>
    <w:rsid w:val="42787EE8"/>
    <w:rsid w:val="4332023E"/>
    <w:rsid w:val="480F6F4A"/>
    <w:rsid w:val="48AD5A89"/>
    <w:rsid w:val="4C012F40"/>
    <w:rsid w:val="4C9C1FFE"/>
    <w:rsid w:val="4CFE3DA9"/>
    <w:rsid w:val="4FB74A2D"/>
    <w:rsid w:val="50750F2E"/>
    <w:rsid w:val="55370167"/>
    <w:rsid w:val="56B85E24"/>
    <w:rsid w:val="57D93C2F"/>
    <w:rsid w:val="59096991"/>
    <w:rsid w:val="591946E0"/>
    <w:rsid w:val="593802CD"/>
    <w:rsid w:val="59C960F0"/>
    <w:rsid w:val="5A845EC4"/>
    <w:rsid w:val="5AC91931"/>
    <w:rsid w:val="5C5F5A74"/>
    <w:rsid w:val="5CB224BB"/>
    <w:rsid w:val="5CB6276E"/>
    <w:rsid w:val="5E2B2F3A"/>
    <w:rsid w:val="5EF13487"/>
    <w:rsid w:val="60AD6604"/>
    <w:rsid w:val="61465416"/>
    <w:rsid w:val="635C61BF"/>
    <w:rsid w:val="63712037"/>
    <w:rsid w:val="64D870EB"/>
    <w:rsid w:val="67C53AD9"/>
    <w:rsid w:val="68F25C30"/>
    <w:rsid w:val="69054F96"/>
    <w:rsid w:val="6B084D0D"/>
    <w:rsid w:val="6BB640C5"/>
    <w:rsid w:val="711C152C"/>
    <w:rsid w:val="759E14E3"/>
    <w:rsid w:val="77F12F92"/>
    <w:rsid w:val="789E2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link w:val="20"/>
    <w:semiHidden/>
    <w:unhideWhenUsed/>
    <w:qFormat/>
    <w:uiPriority w:val="0"/>
    <w:pPr>
      <w:keepNext/>
      <w:keepLines/>
      <w:spacing w:beforeLines="0" w:beforeAutospacing="0" w:afterLines="0" w:afterAutospacing="0" w:line="560" w:lineRule="exact"/>
      <w:outlineLvl w:val="1"/>
    </w:pPr>
    <w:rPr>
      <w:rFonts w:ascii="黑体" w:hAnsi="黑体" w:eastAsia="黑体" w:cs="黑体"/>
    </w:rPr>
  </w:style>
  <w:style w:type="paragraph" w:styleId="4">
    <w:name w:val="heading 3"/>
    <w:basedOn w:val="1"/>
    <w:next w:val="1"/>
    <w:link w:val="21"/>
    <w:semiHidden/>
    <w:unhideWhenUsed/>
    <w:qFormat/>
    <w:uiPriority w:val="0"/>
    <w:pPr>
      <w:keepNext/>
      <w:keepLines/>
      <w:spacing w:beforeLines="0" w:beforeAutospacing="0" w:afterLines="0" w:afterAutospacing="0" w:line="560" w:lineRule="exact"/>
      <w:outlineLvl w:val="2"/>
    </w:pPr>
    <w:rPr>
      <w:rFonts w:ascii="楷体" w:hAnsi="楷体" w:eastAsia="楷体" w:cs="楷体"/>
      <w:b/>
      <w:bCs/>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仿宋_GB2312" w:hAnsi="仿宋_GB2312" w:eastAsia="仿宋_GB2312" w:cs="仿宋_GB2312"/>
      <w:b/>
      <w:bCs/>
      <w:sz w:val="32"/>
    </w:rPr>
  </w:style>
  <w:style w:type="character" w:default="1" w:styleId="13">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6">
    <w:name w:val="Body Text"/>
    <w:basedOn w:val="1"/>
    <w:next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50" w:beforeLines="50" w:beforeAutospacing="0" w:after="50" w:afterLines="50" w:afterAutospacing="0" w:line="240" w:lineRule="auto"/>
      <w:ind w:firstLine="0" w:firstLineChars="0"/>
      <w:jc w:val="center"/>
      <w:outlineLvl w:val="1"/>
    </w:pPr>
    <w:rPr>
      <w:rFonts w:ascii="楷体" w:hAnsi="楷体" w:eastAsia="楷体" w:cs="楷体"/>
      <w:kern w:val="28"/>
    </w:rPr>
  </w:style>
  <w:style w:type="paragraph" w:styleId="11">
    <w:name w:val="Body Text First Indent 2"/>
    <w:basedOn w:val="7"/>
    <w:qFormat/>
    <w:uiPriority w:val="0"/>
    <w:pPr>
      <w:ind w:firstLine="420" w:firstLineChars="200"/>
    </w:pPr>
  </w:style>
  <w:style w:type="paragraph" w:customStyle="1" w:styleId="14">
    <w:name w:val="图表标题"/>
    <w:basedOn w:val="1"/>
    <w:qFormat/>
    <w:uiPriority w:val="0"/>
    <w:pPr>
      <w:spacing w:line="240" w:lineRule="auto"/>
      <w:ind w:firstLine="0" w:firstLineChars="0"/>
      <w:jc w:val="center"/>
      <w:outlineLvl w:val="1"/>
    </w:pPr>
    <w:rPr>
      <w:rFonts w:ascii="黑体" w:hAnsi="黑体" w:eastAsia="黑体" w:cs="楷体"/>
      <w:kern w:val="28"/>
      <w:sz w:val="28"/>
      <w:szCs w:val="28"/>
    </w:rPr>
  </w:style>
  <w:style w:type="paragraph" w:customStyle="1" w:styleId="15">
    <w:name w:val="一级表头"/>
    <w:basedOn w:val="1"/>
    <w:qFormat/>
    <w:uiPriority w:val="0"/>
    <w:pPr>
      <w:spacing w:line="240" w:lineRule="auto"/>
      <w:ind w:firstLine="0" w:firstLineChars="0"/>
      <w:jc w:val="center"/>
    </w:pPr>
    <w:rPr>
      <w:rFonts w:hint="eastAsia" w:ascii="黑体" w:hAnsi="黑体" w:eastAsia="黑体" w:cs="黑体"/>
      <w:sz w:val="28"/>
      <w:szCs w:val="28"/>
    </w:rPr>
  </w:style>
  <w:style w:type="paragraph" w:customStyle="1" w:styleId="16">
    <w:name w:val="二级表头"/>
    <w:basedOn w:val="1"/>
    <w:qFormat/>
    <w:uiPriority w:val="0"/>
    <w:pPr>
      <w:spacing w:line="240" w:lineRule="auto"/>
      <w:ind w:firstLine="0" w:firstLineChars="0"/>
      <w:jc w:val="center"/>
    </w:pPr>
    <w:rPr>
      <w:rFonts w:hint="eastAsia" w:ascii="楷体" w:hAnsi="楷体" w:eastAsia="楷体" w:cs="楷体"/>
      <w:b/>
      <w:bCs/>
      <w:sz w:val="28"/>
      <w:szCs w:val="28"/>
    </w:rPr>
  </w:style>
  <w:style w:type="paragraph" w:customStyle="1" w:styleId="17">
    <w:name w:val="表文居中"/>
    <w:basedOn w:val="1"/>
    <w:qFormat/>
    <w:uiPriority w:val="0"/>
    <w:pPr>
      <w:spacing w:line="240" w:lineRule="auto"/>
      <w:ind w:firstLine="0" w:firstLineChars="0"/>
      <w:jc w:val="center"/>
    </w:pPr>
    <w:rPr>
      <w:rFonts w:hint="eastAsia"/>
      <w:sz w:val="28"/>
      <w:szCs w:val="28"/>
    </w:rPr>
  </w:style>
  <w:style w:type="paragraph" w:customStyle="1" w:styleId="18">
    <w:name w:val="表文左对齐"/>
    <w:basedOn w:val="1"/>
    <w:qFormat/>
    <w:uiPriority w:val="0"/>
    <w:pPr>
      <w:spacing w:line="240" w:lineRule="auto"/>
      <w:ind w:firstLine="0" w:firstLineChars="0"/>
    </w:pPr>
    <w:rPr>
      <w:rFonts w:hint="eastAsia"/>
      <w:sz w:val="28"/>
      <w:szCs w:val="28"/>
    </w:rPr>
  </w:style>
  <w:style w:type="paragraph" w:customStyle="1" w:styleId="19">
    <w:name w:val="表文缩进"/>
    <w:basedOn w:val="1"/>
    <w:qFormat/>
    <w:uiPriority w:val="0"/>
    <w:pPr>
      <w:spacing w:line="240" w:lineRule="auto"/>
    </w:pPr>
    <w:rPr>
      <w:rFonts w:hint="eastAsia"/>
      <w:sz w:val="28"/>
      <w:szCs w:val="28"/>
    </w:rPr>
  </w:style>
  <w:style w:type="character" w:customStyle="1" w:styleId="20">
    <w:name w:val="标题 2 Char"/>
    <w:link w:val="3"/>
    <w:qFormat/>
    <w:uiPriority w:val="0"/>
    <w:rPr>
      <w:rFonts w:hint="eastAsia" w:ascii="Arial" w:hAnsi="Arial" w:eastAsia="黑体" w:cs="黑体"/>
      <w:kern w:val="0"/>
      <w:sz w:val="32"/>
      <w:szCs w:val="32"/>
    </w:rPr>
  </w:style>
  <w:style w:type="character" w:customStyle="1" w:styleId="21">
    <w:name w:val="标题 3 Char1"/>
    <w:link w:val="4"/>
    <w:qFormat/>
    <w:uiPriority w:val="0"/>
    <w:rPr>
      <w:rFonts w:hint="eastAsia" w:ascii="楷体" w:hAnsi="楷体" w:eastAsia="楷体" w:cs="楷体"/>
      <w:b/>
      <w:bCs/>
      <w:kern w:val="0"/>
      <w:sz w:val="32"/>
      <w:szCs w:val="32"/>
      <w:lang w:val="en-US" w:eastAsia="zh-CN" w:bidi="ar"/>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6080</Words>
  <Characters>6341</Characters>
  <Lines>0</Lines>
  <Paragraphs>0</Paragraphs>
  <TotalTime>0</TotalTime>
  <ScaleCrop>false</ScaleCrop>
  <LinksUpToDate>false</LinksUpToDate>
  <CharactersWithSpaces>6392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2024-11-18T03:19:00Z</dcterms:created>
  <dc:creator>Administrator</dc:creator>
  <cp:lastModifiedBy>WPS</cp:lastModifiedBy>
  <dcterms:modified xsi:type="dcterms:W3CDTF">2025-02-26T06:14:43Z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C4946250F8104E2F81C33662A6078EE1_12</vt:lpwstr>
  </property>
  <property fmtid="{D5CDD505-2E9C-101B-9397-08002B2CF9AE}" pid="4" name="KSOTemplateDocerSaveRecord">
    <vt:lpwstr>eyJoZGlkIjoiMmJiNDJmMTAwMTM5MjliNjkzMjgyN2M3MjVmYmExMGYiLCJ1c2VySWQiOiI0MDMxNzMxNjIifQ==</vt:lpwstr>
  </property>
</Properties>
</file>